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mallCaps w:val="1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COLEÇÃO DE ZOOLOGIA E FAZER ACADÊMICO: INTEGRANDO ENSINO, PESQUISA E 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EXTENSÃO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Julia Ramos de Oliveira - estudante </w:t>
      </w:r>
      <w:r w:rsidDel="00000000" w:rsidR="00000000" w:rsidRPr="00000000">
        <w:rPr>
          <w:sz w:val="24"/>
          <w:szCs w:val="24"/>
          <w:rtl w:val="0"/>
        </w:rPr>
        <w:t xml:space="preserve">(Fundação Araucária)</w:t>
      </w:r>
    </w:p>
    <w:p w:rsidR="00000000" w:rsidDel="00000000" w:rsidP="00000000" w:rsidRDefault="00000000" w:rsidRPr="00000000" w14:paraId="00000004">
      <w:pPr>
        <w:jc w:val="right"/>
        <w:rPr>
          <w:sz w:val="22"/>
          <w:szCs w:val="22"/>
        </w:rPr>
      </w:pPr>
      <w:r w:rsidDel="00000000" w:rsidR="00000000" w:rsidRPr="00000000">
        <w:rPr>
          <w:sz w:val="24"/>
          <w:szCs w:val="24"/>
          <w:rtl w:val="0"/>
        </w:rPr>
        <w:t xml:space="preserve">Unespar/</w:t>
      </w:r>
      <w:r w:rsidDel="00000000" w:rsidR="00000000" w:rsidRPr="00000000">
        <w:rPr>
          <w:i w:val="1"/>
          <w:sz w:val="24"/>
          <w:szCs w:val="24"/>
          <w:rtl w:val="0"/>
        </w:rPr>
        <w:t xml:space="preserve">Campus Paranaguá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ramosjulia2005@gmail.com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right"/>
        <w:rPr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Cassiana Baptista Metri</w:t>
      </w:r>
      <w:r w:rsidDel="00000000" w:rsidR="00000000" w:rsidRPr="00000000">
        <w:rPr>
          <w:sz w:val="24"/>
          <w:szCs w:val="24"/>
          <w:rtl w:val="0"/>
        </w:rPr>
        <w:t xml:space="preserve"> - orientadora</w:t>
      </w:r>
    </w:p>
    <w:p w:rsidR="00000000" w:rsidDel="00000000" w:rsidP="00000000" w:rsidRDefault="00000000" w:rsidRPr="00000000" w14:paraId="00000007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Unespar/</w:t>
      </w:r>
      <w:r w:rsidDel="00000000" w:rsidR="00000000" w:rsidRPr="00000000">
        <w:rPr>
          <w:i w:val="1"/>
          <w:sz w:val="24"/>
          <w:szCs w:val="24"/>
          <w:rtl w:val="0"/>
        </w:rPr>
        <w:t xml:space="preserve">Campus Paranaguá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sz w:val="22"/>
          <w:szCs w:val="22"/>
          <w:rtl w:val="0"/>
        </w:rPr>
        <w:t xml:space="preserve">cassiana.metri@unespar.edu.br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right"/>
        <w:rPr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Tânia Zaleski</w:t>
      </w:r>
      <w:r w:rsidDel="00000000" w:rsidR="00000000" w:rsidRPr="00000000">
        <w:rPr>
          <w:sz w:val="24"/>
          <w:szCs w:val="24"/>
          <w:rtl w:val="0"/>
        </w:rPr>
        <w:t xml:space="preserve"> - coorientadora</w:t>
      </w:r>
    </w:p>
    <w:p w:rsidR="00000000" w:rsidDel="00000000" w:rsidP="00000000" w:rsidRDefault="00000000" w:rsidRPr="00000000" w14:paraId="0000000A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Unespar/</w:t>
      </w:r>
      <w:r w:rsidDel="00000000" w:rsidR="00000000" w:rsidRPr="00000000">
        <w:rPr>
          <w:i w:val="1"/>
          <w:sz w:val="24"/>
          <w:szCs w:val="24"/>
          <w:rtl w:val="0"/>
        </w:rPr>
        <w:t xml:space="preserve">Campus Paranaguá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sz w:val="22"/>
          <w:szCs w:val="22"/>
          <w:rtl w:val="0"/>
        </w:rPr>
        <w:t xml:space="preserve">tania.zaleski@unespar.edu.br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Modalidade: Extensão</w:t>
      </w:r>
    </w:p>
    <w:p w:rsidR="00000000" w:rsidDel="00000000" w:rsidP="00000000" w:rsidRDefault="00000000" w:rsidRPr="00000000" w14:paraId="0000000D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Programa Institucional: Coleções biológicas como ferramenta de educação ambiental: o </w:t>
      </w:r>
    </w:p>
    <w:p w:rsidR="00000000" w:rsidDel="00000000" w:rsidP="00000000" w:rsidRDefault="00000000" w:rsidRPr="00000000" w14:paraId="0000000E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meio ambiente do litoral do Paraná e visibilidade feminina </w:t>
      </w:r>
    </w:p>
    <w:p w:rsidR="00000000" w:rsidDel="00000000" w:rsidP="00000000" w:rsidRDefault="00000000" w:rsidRPr="00000000" w14:paraId="0000000F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Grande Área do Conhecimento: Ciências Biológicas </w:t>
      </w:r>
    </w:p>
    <w:p w:rsidR="00000000" w:rsidDel="00000000" w:rsidP="00000000" w:rsidRDefault="00000000" w:rsidRPr="00000000" w14:paraId="0000001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INTRODUÇÃO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ind w:left="0" w:firstLine="70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 coleções biológicas são definidas como conjuntos de espécimes biológicos inteiros ou partes deles (PAPAVERO, 1994) tratados, conservados e documentados através de técnicas diversas, as quais permitem sua conservação longeva e íntegra e a posterior consulta desses exemplares, de forma segura e acessível. (VOLPI et al., 2021). As coleções possuem considerável potencial interdisciplinar, podendo interagir com questões históricas, culturais e principalmente de cunho científico (MOYA, 1998). A Universidade Estadual do Paraná, campus Paranaguá, possui hoje a Coleção da Biodiversidade formada por cerca de 1.000 espécimes zoológicos, que contemplam os principais filos animais, conservados em vias úmida e seca.</w:t>
      </w:r>
    </w:p>
    <w:p w:rsidR="00000000" w:rsidDel="00000000" w:rsidP="00000000" w:rsidRDefault="00000000" w:rsidRPr="00000000" w14:paraId="00000015">
      <w:pPr>
        <w:spacing w:line="360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Coleção teve início em 2005 e tinha como objetivo organizar um acervo zoológico, que servisse de auxílio para as aulas práticas do Curso de Ciências Biológicas. O uso de espécimes conservados em aulas possibilita que os estudantes relacionem os aspectos morfológicos às suas respectivas funções e compreendam sua posição ecológica e importância para a conservação da biodiversidade. (VOLPI et al., 2021). </w:t>
      </w:r>
    </w:p>
    <w:p w:rsidR="00000000" w:rsidDel="00000000" w:rsidP="00000000" w:rsidRDefault="00000000" w:rsidRPr="00000000" w14:paraId="00000016">
      <w:pPr>
        <w:spacing w:line="360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Em 2023, a Coleção passou a integrar o programa de extensão, nomeado “Coleção da Biodiversidade”, possibilitando maior alcance do programa, chegando à população através de participações em eventos, exposições e empréstimos do material colecionado. O uso de exemplares locais em atividades regionais permite a integração da comunidade de Paranaguá e de todo o litoral paranaense através da divulgação da biodiversidade da região e valorizando a cultura local. Ações educativas ambientais são essenciais para alertar a população a respeito da crise ambiental global que afeta a biodiversidade. De acordo com o Índice Planeta Vivo de 2022, elaborado pelo World Wide Fund for Nature Inc (WWF), entre 1970 e 2018, as populações de mamíferos, aves, anfíbios, répteis e peixes tiveram uma queda média de 69%.  A redução da diversidade biológica compromete a sustentabilidade, a disponibilidade permanente dos recursos ambientais e a qualidade de vida no planeta. A garantia de um ecossistema ecologicamente equilibrado é uma prerrogativa constitucional garantida a todos os brasileiros pelo Art. 225 (BRASIL, 1998). </w:t>
      </w:r>
    </w:p>
    <w:p w:rsidR="00000000" w:rsidDel="00000000" w:rsidP="00000000" w:rsidRDefault="00000000" w:rsidRPr="00000000" w14:paraId="00000017">
      <w:pPr>
        <w:spacing w:line="360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Assim, o </w:t>
      </w:r>
      <w:r w:rsidDel="00000000" w:rsidR="00000000" w:rsidRPr="00000000">
        <w:rPr>
          <w:sz w:val="24"/>
          <w:szCs w:val="24"/>
          <w:rtl w:val="0"/>
        </w:rPr>
        <w:t xml:space="preserve">projeto Coleção de Zoologia e fazer acadêmico: integrando ensino, pesquisa e extensão</w:t>
      </w:r>
      <w:r w:rsidDel="00000000" w:rsidR="00000000" w:rsidRPr="00000000">
        <w:rPr>
          <w:smallCaps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têm por objetivo: (i) suprir a demanda interna do campus quanto a manutenção de exemplares para o ensino prático da zoologia;(ii) aproximar a população do meio científico; (iii) divulgar as espécies predominantes na região e transmitir o devido conhecimento sobre as mesmas; (iv) implementar ações em plataformas digitais, através da manutenção de um perfil no Instagram, com enfoque em disseminar informação e interagir com o público. </w:t>
      </w:r>
    </w:p>
    <w:p w:rsidR="00000000" w:rsidDel="00000000" w:rsidP="00000000" w:rsidRDefault="00000000" w:rsidRPr="00000000" w14:paraId="00000018">
      <w:pPr>
        <w:spacing w:line="360" w:lineRule="auto"/>
        <w:ind w:firstLine="708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MATERIAIS E MÉTODOS</w:t>
      </w:r>
    </w:p>
    <w:p w:rsidR="00000000" w:rsidDel="00000000" w:rsidP="00000000" w:rsidRDefault="00000000" w:rsidRPr="00000000" w14:paraId="0000001A">
      <w:pPr>
        <w:spacing w:line="360" w:lineRule="auto"/>
        <w:ind w:firstLine="566.9291338582675"/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manutenção e ampliação dos exemplares da coleção envolvem diversas etapas, tais como: triagem, identificação, fixação, tombamento, conservação, manutenção e armazenamento.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ind w:firstLine="709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triagem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consiste na seleção do material recebido por meio de doações dos docentes, discentes e público geral. </w:t>
      </w:r>
      <w:r w:rsidDel="00000000" w:rsidR="00000000" w:rsidRPr="00000000">
        <w:rPr>
          <w:sz w:val="24"/>
          <w:szCs w:val="24"/>
          <w:rtl w:val="0"/>
        </w:rPr>
        <w:t xml:space="preserve">A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condição dos exempla</w:t>
      </w:r>
      <w:r w:rsidDel="00000000" w:rsidR="00000000" w:rsidRPr="00000000">
        <w:rPr>
          <w:sz w:val="24"/>
          <w:szCs w:val="24"/>
          <w:rtl w:val="0"/>
        </w:rPr>
        <w:t xml:space="preserve">res são avaliadas e determina-se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o melhor método para a sua conservação, para que assim seja viável o seu tombamento.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C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identificação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é realizada pelos discentes e docentes participantes do projeto, ou eventualmente por outros especialistas e alunos das disciplinas da área de zoologia dos </w:t>
      </w:r>
      <w:r w:rsidDel="00000000" w:rsidR="00000000" w:rsidRPr="00000000">
        <w:rPr>
          <w:sz w:val="24"/>
          <w:szCs w:val="24"/>
          <w:rtl w:val="0"/>
        </w:rPr>
        <w:t xml:space="preserve">c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ursos de </w:t>
      </w:r>
      <w:r w:rsidDel="00000000" w:rsidR="00000000" w:rsidRPr="00000000">
        <w:rPr>
          <w:sz w:val="24"/>
          <w:szCs w:val="24"/>
          <w:rtl w:val="0"/>
        </w:rPr>
        <w:t xml:space="preserve">C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iências </w:t>
      </w:r>
      <w:r w:rsidDel="00000000" w:rsidR="00000000" w:rsidRPr="00000000">
        <w:rPr>
          <w:sz w:val="24"/>
          <w:szCs w:val="24"/>
          <w:rtl w:val="0"/>
        </w:rPr>
        <w:t xml:space="preserve">B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iológicas. Nessa etapa o objetivo é chegar ao menor grupo taxonômico, ou se possível, espécie do animal.</w:t>
      </w:r>
    </w:p>
    <w:p w:rsidR="00000000" w:rsidDel="00000000" w:rsidP="00000000" w:rsidRDefault="00000000" w:rsidRPr="00000000" w14:paraId="0000001D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fixação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dos exemplares inclui as vias seca e úmida e os fixadores químicos adequados para cada grupo específico. </w:t>
      </w:r>
      <w:r w:rsidDel="00000000" w:rsidR="00000000" w:rsidRPr="00000000">
        <w:rPr>
          <w:sz w:val="24"/>
          <w:szCs w:val="24"/>
          <w:rtl w:val="0"/>
        </w:rPr>
        <w:t xml:space="preserve">Na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via úmida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os animais são fixados predominantemente em formol 4 </w:t>
      </w:r>
      <w:r w:rsidDel="00000000" w:rsidR="00000000" w:rsidRPr="00000000">
        <w:rPr>
          <w:sz w:val="24"/>
          <w:szCs w:val="24"/>
          <w:rtl w:val="0"/>
        </w:rPr>
        <w:t xml:space="preserve">ou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10% ou álcool 70%. Para </w:t>
      </w:r>
      <w:r w:rsidDel="00000000" w:rsidR="00000000" w:rsidRPr="00000000">
        <w:rPr>
          <w:sz w:val="24"/>
          <w:szCs w:val="24"/>
          <w:rtl w:val="0"/>
        </w:rPr>
        <w:t xml:space="preserve">a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nimais com tamanhos acima de 15 cm ou grande massa, injeta-se material fixador em seu interior, através de injeções.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Para garantir a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conservação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os animais são mantidos predominantemente em álcool etílico 70</w:t>
      </w:r>
      <w:r w:rsidDel="00000000" w:rsidR="00000000" w:rsidRPr="00000000">
        <w:rPr>
          <w:sz w:val="24"/>
          <w:szCs w:val="24"/>
          <w:rtl w:val="0"/>
        </w:rPr>
        <w:t xml:space="preserve">%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em frascos de vidro </w:t>
      </w:r>
      <w:r w:rsidDel="00000000" w:rsidR="00000000" w:rsidRPr="00000000">
        <w:rPr>
          <w:sz w:val="24"/>
          <w:szCs w:val="24"/>
          <w:rtl w:val="0"/>
        </w:rPr>
        <w:t xml:space="preserve">ou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potes plásticos</w:t>
      </w:r>
      <w:r w:rsidDel="00000000" w:rsidR="00000000" w:rsidRPr="00000000">
        <w:rPr>
          <w:sz w:val="24"/>
          <w:szCs w:val="24"/>
          <w:rtl w:val="0"/>
        </w:rPr>
        <w:t xml:space="preserve">. Os recipientes são selecionados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para facilitar a visualização do seu conteúdo e dev</w:t>
      </w:r>
      <w:r w:rsidDel="00000000" w:rsidR="00000000" w:rsidRPr="00000000">
        <w:rPr>
          <w:sz w:val="24"/>
          <w:szCs w:val="24"/>
          <w:rtl w:val="0"/>
        </w:rPr>
        <w:t xml:space="preserve">em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apresentar uma boa vedação. </w:t>
      </w:r>
    </w:p>
    <w:p w:rsidR="00000000" w:rsidDel="00000000" w:rsidP="00000000" w:rsidRDefault="00000000" w:rsidRPr="00000000" w14:paraId="0000001F">
      <w:pPr>
        <w:spacing w:line="360" w:lineRule="auto"/>
        <w:ind w:firstLine="708"/>
        <w:jc w:val="both"/>
        <w:rPr>
          <w:color w:val="000000"/>
          <w:sz w:val="24"/>
          <w:szCs w:val="24"/>
          <w:highlight w:val="cyan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O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tombamento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consiste no cadastro do exemplar em planilha eletrônica com as seguintes informações:  código alfanumérico único e exclusivo, nome do coletor, data da coleta, táxon do exemplar identificado até o menor nível taxonômico possível, ademais para melhor manutenção posterior, são adicionados na planilha também a via de conservação (se seca ou úmida), e também observações adicionais. </w:t>
      </w:r>
      <w:r w:rsidDel="00000000" w:rsidR="00000000" w:rsidRPr="00000000">
        <w:rPr>
          <w:sz w:val="24"/>
          <w:szCs w:val="24"/>
          <w:rtl w:val="0"/>
        </w:rPr>
        <w:t xml:space="preserve">U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ma etiqueta (</w:t>
      </w:r>
      <w:r w:rsidDel="00000000" w:rsidR="00000000" w:rsidRPr="00000000">
        <w:rPr>
          <w:sz w:val="24"/>
          <w:szCs w:val="24"/>
          <w:rtl w:val="0"/>
        </w:rPr>
        <w:t xml:space="preserve">Figura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1), contendo</w:t>
      </w:r>
      <w:r w:rsidDel="00000000" w:rsidR="00000000" w:rsidRPr="00000000">
        <w:rPr>
          <w:sz w:val="24"/>
          <w:szCs w:val="24"/>
          <w:rtl w:val="0"/>
        </w:rPr>
        <w:t xml:space="preserve"> o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código de identificação, o </w:t>
      </w:r>
      <w:r w:rsidDel="00000000" w:rsidR="00000000" w:rsidRPr="00000000">
        <w:rPr>
          <w:sz w:val="24"/>
          <w:szCs w:val="24"/>
          <w:rtl w:val="0"/>
        </w:rPr>
        <w:t xml:space="preserve">filo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a espécie (caso tenha sido possível), o nome do coletor, local e data de coleta</w:t>
      </w:r>
      <w:r w:rsidDel="00000000" w:rsidR="00000000" w:rsidRPr="00000000">
        <w:rPr>
          <w:sz w:val="24"/>
          <w:szCs w:val="24"/>
          <w:rtl w:val="0"/>
        </w:rPr>
        <w:t xml:space="preserve"> são fixados no recipiente ou na peça.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ind w:firstLine="708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                   Figura 1 – Etiqueta de identificação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1979929</wp:posOffset>
            </wp:positionH>
            <wp:positionV relativeFrom="paragraph">
              <wp:posOffset>255270</wp:posOffset>
            </wp:positionV>
            <wp:extent cx="1978025" cy="1550670"/>
            <wp:effectExtent b="0" l="0" r="0" t="0"/>
            <wp:wrapNone/>
            <wp:docPr id="159634480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15506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firstLine="720"/>
        <w:jc w:val="both"/>
        <w:rPr/>
      </w:pPr>
      <w:r w:rsidDel="00000000" w:rsidR="00000000" w:rsidRPr="00000000">
        <w:rPr>
          <w:rtl w:val="0"/>
        </w:rPr>
        <w:t xml:space="preserve">                                                           </w:t>
      </w:r>
    </w:p>
    <w:p w:rsidR="00000000" w:rsidDel="00000000" w:rsidP="00000000" w:rsidRDefault="00000000" w:rsidRPr="00000000" w14:paraId="0000002B">
      <w:pPr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firstLine="720"/>
        <w:jc w:val="both"/>
        <w:rPr/>
      </w:pPr>
      <w:r w:rsidDel="00000000" w:rsidR="00000000" w:rsidRPr="00000000">
        <w:rPr>
          <w:rtl w:val="0"/>
        </w:rPr>
        <w:t xml:space="preserve">                                                           Fonte: Autoria própria.</w:t>
      </w:r>
    </w:p>
    <w:p w:rsidR="00000000" w:rsidDel="00000000" w:rsidP="00000000" w:rsidRDefault="00000000" w:rsidRPr="00000000" w14:paraId="0000002D">
      <w:pPr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manutenção </w:t>
      </w:r>
      <w:r w:rsidDel="00000000" w:rsidR="00000000" w:rsidRPr="00000000">
        <w:rPr>
          <w:sz w:val="24"/>
          <w:szCs w:val="24"/>
          <w:rtl w:val="0"/>
        </w:rPr>
        <w:t xml:space="preserve">dos exemplares é realizada constantemente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através da </w:t>
      </w:r>
      <w:r w:rsidDel="00000000" w:rsidR="00000000" w:rsidRPr="00000000">
        <w:rPr>
          <w:sz w:val="24"/>
          <w:szCs w:val="24"/>
          <w:rtl w:val="0"/>
        </w:rPr>
        <w:t xml:space="preserve">avaliação  periódica do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nível de líquido conservante, mantendo sempre o espécime submerso</w:t>
      </w:r>
      <w:r w:rsidDel="00000000" w:rsidR="00000000" w:rsidRPr="00000000">
        <w:rPr>
          <w:sz w:val="24"/>
          <w:szCs w:val="24"/>
          <w:rtl w:val="0"/>
        </w:rPr>
        <w:t xml:space="preserve">. Também é avaliado 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estado de conservação</w:t>
      </w:r>
      <w:r w:rsidDel="00000000" w:rsidR="00000000" w:rsidRPr="00000000">
        <w:rPr>
          <w:sz w:val="24"/>
          <w:szCs w:val="24"/>
          <w:rtl w:val="0"/>
        </w:rPr>
        <w:t xml:space="preserve"> e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os espécimes são constantemente limpo</w:t>
      </w:r>
      <w:r w:rsidDel="00000000" w:rsidR="00000000" w:rsidRPr="00000000">
        <w:rPr>
          <w:sz w:val="24"/>
          <w:szCs w:val="24"/>
          <w:rtl w:val="0"/>
        </w:rPr>
        <w:t xml:space="preserve">s e reorganizados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. </w:t>
      </w:r>
      <w:r w:rsidDel="00000000" w:rsidR="00000000" w:rsidRPr="00000000">
        <w:rPr>
          <w:sz w:val="24"/>
          <w:szCs w:val="24"/>
          <w:rtl w:val="0"/>
        </w:rPr>
        <w:t xml:space="preserve">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armazenamento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da coleção é feito no </w:t>
      </w:r>
      <w:r w:rsidDel="00000000" w:rsidR="00000000" w:rsidRPr="00000000">
        <w:rPr>
          <w:sz w:val="24"/>
          <w:szCs w:val="24"/>
          <w:rtl w:val="0"/>
        </w:rPr>
        <w:t xml:space="preserve">Bloco João José Bigarella na UNESPAR. Os exemplares estão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dispost</w:t>
      </w:r>
      <w:r w:rsidDel="00000000" w:rsidR="00000000" w:rsidRPr="00000000">
        <w:rPr>
          <w:sz w:val="24"/>
          <w:szCs w:val="24"/>
          <w:rtl w:val="0"/>
        </w:rPr>
        <w:t xml:space="preserve">os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em prateleiras (</w:t>
      </w:r>
      <w:r w:rsidDel="00000000" w:rsidR="00000000" w:rsidRPr="00000000">
        <w:rPr>
          <w:sz w:val="24"/>
          <w:szCs w:val="24"/>
          <w:rtl w:val="0"/>
        </w:rPr>
        <w:t xml:space="preserve">Figura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2) e armários com livre acesso para estudantes e professores </w:t>
      </w:r>
      <w:r w:rsidDel="00000000" w:rsidR="00000000" w:rsidRPr="00000000">
        <w:rPr>
          <w:sz w:val="24"/>
          <w:szCs w:val="24"/>
          <w:rtl w:val="0"/>
        </w:rPr>
        <w:t xml:space="preserve">do curso de Ciências Biológicas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ind w:firstLine="709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              Figura 2 – Prateleira de armazenamento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1117763</wp:posOffset>
            </wp:positionH>
            <wp:positionV relativeFrom="paragraph">
              <wp:posOffset>201644</wp:posOffset>
            </wp:positionV>
            <wp:extent cx="2769730" cy="3525111"/>
            <wp:effectExtent b="0" l="0" r="0" t="0"/>
            <wp:wrapNone/>
            <wp:docPr id="159634481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 b="3069" l="20537" r="17537" t="167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9730" cy="35251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spacing w:line="360" w:lineRule="auto"/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jc w:val="left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                                           </w:t>
      </w:r>
      <w:r w:rsidDel="00000000" w:rsidR="00000000" w:rsidRPr="00000000">
        <w:rPr>
          <w:rtl w:val="0"/>
        </w:rPr>
        <w:t xml:space="preserve">              Fonte: Autoria própria.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Empréstimos e uso dos exemplares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E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uso dos exemplares da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coleção se dá através da sua atividade virtual, em exposições, </w:t>
      </w:r>
      <w:r w:rsidDel="00000000" w:rsidR="00000000" w:rsidRPr="00000000">
        <w:rPr>
          <w:sz w:val="24"/>
          <w:szCs w:val="24"/>
          <w:rtl w:val="0"/>
        </w:rPr>
        <w:t xml:space="preserve">na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participações em eventos científicos e culturais, e majoritariamente, através dos empréstimos para atividades de ensino. </w:t>
      </w:r>
      <w:r w:rsidDel="00000000" w:rsidR="00000000" w:rsidRPr="00000000">
        <w:rPr>
          <w:sz w:val="24"/>
          <w:szCs w:val="24"/>
          <w:rtl w:val="0"/>
        </w:rPr>
        <w:t xml:space="preserve">Para a realização dos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empréstimos o interessado deve entrar em contato com a coleção, e preencher o formulário eletrônico </w:t>
      </w:r>
      <w:r w:rsidDel="00000000" w:rsidR="00000000" w:rsidRPr="00000000">
        <w:rPr>
          <w:sz w:val="24"/>
          <w:szCs w:val="24"/>
          <w:rtl w:val="0"/>
        </w:rPr>
        <w:t xml:space="preserve">contendo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informações como nome, cpf, número para contato, instituição de vínculo do solicitante, e informações referentes ao evento de destino dos espécimes</w:t>
      </w:r>
      <w:r w:rsidDel="00000000" w:rsidR="00000000" w:rsidRPr="00000000">
        <w:rPr>
          <w:sz w:val="24"/>
          <w:szCs w:val="24"/>
          <w:rtl w:val="0"/>
        </w:rPr>
        <w:t xml:space="preserve">, tais como i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nstituição onde o evento ocorrerá; </w:t>
      </w:r>
      <w:r w:rsidDel="00000000" w:rsidR="00000000" w:rsidRPr="00000000">
        <w:rPr>
          <w:sz w:val="24"/>
          <w:szCs w:val="24"/>
          <w:rtl w:val="0"/>
        </w:rPr>
        <w:t xml:space="preserve">t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ipo do evento (aula, feira de ciências, </w:t>
      </w:r>
      <w:r w:rsidDel="00000000" w:rsidR="00000000" w:rsidRPr="00000000">
        <w:rPr>
          <w:sz w:val="24"/>
          <w:szCs w:val="24"/>
          <w:rtl w:val="0"/>
        </w:rPr>
        <w:t xml:space="preserve">exposições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etc.); </w:t>
      </w:r>
      <w:r w:rsidDel="00000000" w:rsidR="00000000" w:rsidRPr="00000000">
        <w:rPr>
          <w:sz w:val="24"/>
          <w:szCs w:val="24"/>
          <w:rtl w:val="0"/>
        </w:rPr>
        <w:t xml:space="preserve">g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rupo, ou espécies desejadas; </w:t>
      </w:r>
      <w:r w:rsidDel="00000000" w:rsidR="00000000" w:rsidRPr="00000000">
        <w:rPr>
          <w:sz w:val="24"/>
          <w:szCs w:val="24"/>
          <w:rtl w:val="0"/>
        </w:rPr>
        <w:t xml:space="preserve">f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aixa etária e escolaridade do público-alvo. Os exemplares são </w:t>
      </w:r>
      <w:r w:rsidDel="00000000" w:rsidR="00000000" w:rsidRPr="00000000">
        <w:rPr>
          <w:sz w:val="24"/>
          <w:szCs w:val="24"/>
          <w:rtl w:val="0"/>
        </w:rPr>
        <w:t xml:space="preserve">seleciona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dos pel</w:t>
      </w:r>
      <w:r w:rsidDel="00000000" w:rsidR="00000000" w:rsidRPr="00000000">
        <w:rPr>
          <w:sz w:val="24"/>
          <w:szCs w:val="24"/>
          <w:rtl w:val="0"/>
        </w:rPr>
        <w:t xml:space="preserve">os bolsistas do projeto ou o s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olicitante pode, ainda, fazer uma visita </w:t>
      </w:r>
      <w:r w:rsidDel="00000000" w:rsidR="00000000" w:rsidRPr="00000000">
        <w:rPr>
          <w:sz w:val="24"/>
          <w:szCs w:val="24"/>
          <w:rtl w:val="0"/>
        </w:rPr>
        <w:t xml:space="preserve">à coleção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para escolher os exemplares que melhor o satisfarão. </w:t>
      </w:r>
      <w:r w:rsidDel="00000000" w:rsidR="00000000" w:rsidRPr="00000000">
        <w:rPr>
          <w:sz w:val="24"/>
          <w:szCs w:val="24"/>
          <w:rtl w:val="0"/>
        </w:rPr>
        <w:t xml:space="preserve">No momento da retirada dos exemplares, o solicitante assina um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contrato simples</w:t>
      </w:r>
      <w:r w:rsidDel="00000000" w:rsidR="00000000" w:rsidRPr="00000000">
        <w:rPr>
          <w:sz w:val="24"/>
          <w:szCs w:val="24"/>
          <w:rtl w:val="0"/>
        </w:rPr>
        <w:t xml:space="preserve">, informando a data d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e devolução. </w:t>
      </w:r>
    </w:p>
    <w:p w:rsidR="00000000" w:rsidDel="00000000" w:rsidP="00000000" w:rsidRDefault="00000000" w:rsidRPr="00000000" w14:paraId="0000003F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Divulgação científica </w:t>
      </w:r>
    </w:p>
    <w:p w:rsidR="00000000" w:rsidDel="00000000" w:rsidP="00000000" w:rsidRDefault="00000000" w:rsidRPr="00000000" w14:paraId="00000041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 ações de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divulgação </w:t>
      </w:r>
      <w:r w:rsidDel="00000000" w:rsidR="00000000" w:rsidRPr="00000000">
        <w:rPr>
          <w:sz w:val="24"/>
          <w:szCs w:val="24"/>
          <w:rtl w:val="0"/>
        </w:rPr>
        <w:t xml:space="preserve">científica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por meio das redes sociais </w:t>
      </w:r>
      <w:r w:rsidDel="00000000" w:rsidR="00000000" w:rsidRPr="00000000">
        <w:rPr>
          <w:sz w:val="24"/>
          <w:szCs w:val="24"/>
          <w:rtl w:val="0"/>
        </w:rPr>
        <w:t xml:space="preserve">são realizadas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através de um perfil do Instagram, com linguagem acessível e não restrita ao meio </w:t>
      </w:r>
      <w:r w:rsidDel="00000000" w:rsidR="00000000" w:rsidRPr="00000000">
        <w:rPr>
          <w:sz w:val="24"/>
          <w:szCs w:val="24"/>
          <w:rtl w:val="0"/>
        </w:rPr>
        <w:t xml:space="preserve">universitário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. Por meio da plataforma são divulgados os eventos que contam com a participação do projeto, e também conteúdo educativo que cativa e aproxima a população, essa iniciativa facilita a comunicação e é essencial para o alcance dos objetivos do projeto atualmente. </w:t>
      </w:r>
    </w:p>
    <w:p w:rsidR="00000000" w:rsidDel="00000000" w:rsidP="00000000" w:rsidRDefault="00000000" w:rsidRPr="00000000" w14:paraId="00000042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jc w:val="both"/>
        <w:rPr>
          <w:color w:val="ff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RESULTADOS E DISCUSSÕES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acervo da coleção da biodiversidade é composto, até o presente momento,  por 1.212 espécimes distribuídos em 11 filos animais. Dos 723 lotes identificados a nível de espécie, 36% são Arthropoda (sobretudo crustáceos), 25% são Chordata (destaque para peixes e répteis) e 17% são Mollusca (representados principalmente por gastrópodes e bivalves). Os componentes da coleção estão organizados de acordo com seus respectivos grupos taxonômicos. Para os filos com maior representatividade como os cordados, artrópodes e moluscos, há uma separação por classe e/ou família. Cada divisão é sinalizada com uma pequena placa na prateleira, indicando o grupo e uma cor designada para ele. Os potes recebem um adesivo da mesma cor, tal dinâmica facilita o uso dos animais para os fins designados.</w:t>
      </w:r>
    </w:p>
    <w:p w:rsidR="00000000" w:rsidDel="00000000" w:rsidP="00000000" w:rsidRDefault="00000000" w:rsidRPr="00000000" w14:paraId="00000045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 atividades extensionistas realizadas pela coleção tiveram como enfoque principal  ações de sensibilização ambiental e utilizaram de distintas estratégias de acordo com o público atendido. As ações englobam desde somente o empréstimo de exemplares e materiais da coleção, até a participação de acadêmicos do projeto e voluntários do curso de Ciências Biológicas. Em seus anos de existência cerca de 7 mil pessoas foram sensibilizadas de alguma forma pelo projeto, através de atendimentos a empresas privadas, órgãos públicos, instituições de ensino de diferentes níveis e organizações governamentais. Foram emprestados em média 490 lotes no total, com ênfase aos filos Chordata, Arthropoda e Mollusca.</w:t>
      </w:r>
    </w:p>
    <w:p w:rsidR="00000000" w:rsidDel="00000000" w:rsidP="00000000" w:rsidRDefault="00000000" w:rsidRPr="00000000" w14:paraId="00000046">
      <w:pPr>
        <w:spacing w:line="360" w:lineRule="auto"/>
        <w:ind w:firstLine="709"/>
        <w:jc w:val="both"/>
        <w:rPr>
          <w:b w:val="1"/>
        </w:rPr>
      </w:pPr>
      <w:r w:rsidDel="00000000" w:rsidR="00000000" w:rsidRPr="00000000">
        <w:rPr>
          <w:sz w:val="24"/>
          <w:szCs w:val="24"/>
          <w:rtl w:val="0"/>
        </w:rPr>
        <w:t xml:space="preserve">Os exemplares da coleção estão presentes em eventos anuais como a Semana do Meio Ambiente de Paranaguá, que comemora o Dia Mundial do Meio Ambiente (5 de junho), e conta com a participação de diversas instituições privadas e públicas com o intuito de conscientizar a população sobre a importância da preservação ambiental. Desde 2016, o curso de Ciências Biológicas da Unespar está presente no evento, expondo os organismos da coleção como representantes da biodiversidade local, através de dinâmicas voltadas para a educação ambiental e jogos, atendendo em média 3 mil pessoas por ano. No ano de 2023 foi destinada à Unespar um estande com cerca de 50 metros quadrados, que foi dividido em três setores principais: a Mata Atlântica, o manguezal e o oceano. Cada setor contava com espécies típicas e os acadêmicos do curso foram responsáveis por fornecer informações biológicas e curiosidades.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Figura 3 – Semana do Meio Ambiente 2023</w:t>
      </w:r>
    </w:p>
    <w:p w:rsidR="00000000" w:rsidDel="00000000" w:rsidP="00000000" w:rsidRDefault="00000000" w:rsidRPr="00000000" w14:paraId="00000048">
      <w:pPr>
        <w:spacing w:line="360" w:lineRule="auto"/>
        <w:ind w:firstLine="709"/>
        <w:jc w:val="both"/>
        <w:rPr>
          <w:b w:val="1"/>
        </w:rPr>
      </w:pPr>
      <w:r w:rsidDel="00000000" w:rsidR="00000000" w:rsidRPr="00000000">
        <w:rPr>
          <w:rtl w:val="0"/>
        </w:rPr>
        <w:t xml:space="preserve">                                        </w:t>
      </w:r>
      <w:r w:rsidDel="00000000" w:rsidR="00000000" w:rsidRPr="00000000">
        <w:rPr/>
        <w:drawing>
          <wp:inline distB="0" distT="0" distL="0" distR="0">
            <wp:extent cx="2313940" cy="2617470"/>
            <wp:effectExtent b="0" l="0" r="0" t="0"/>
            <wp:docPr id="159634480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1517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617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/>
      </w:pPr>
      <w:r w:rsidDel="00000000" w:rsidR="00000000" w:rsidRPr="00000000">
        <w:rPr>
          <w:rtl w:val="0"/>
        </w:rPr>
        <w:t xml:space="preserve">                                                                       Fonte: Autoria própria </w:t>
      </w:r>
    </w:p>
    <w:p w:rsidR="00000000" w:rsidDel="00000000" w:rsidP="00000000" w:rsidRDefault="00000000" w:rsidRPr="00000000" w14:paraId="0000004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Outro evento anual que conta com a participação do projeto é a Mostra de Profissões (Figura 4). Nesse evento a universidade abre as portas e recebe em média 500 estudantes por edição. Os discentes de todos os cursos apresentam aos estudantes do ensino médio, seus respectivos cursos de graduação. Os acadêmicos e docentes de licenciatura e bacharel são responsáveis por apresentarem as atividades realizadas, e instruir os jovens sobre como e quando ingressar na graduação, auxiliando-os na tomada de decisão. Os exemplares são parte essencial para atrair o interesse dos estudantes e para explicar como funciona e do que se trata a área de zoologia. Os discentes aproveitam a oportunidade, fornecendo informações sobre o uso dos exemplares em aulas práticas, a amplitude de áreas de estudo, e até os métodos de conservação e importância das coleções zoológicas. </w:t>
      </w:r>
    </w:p>
    <w:p w:rsidR="00000000" w:rsidDel="00000000" w:rsidP="00000000" w:rsidRDefault="00000000" w:rsidRPr="00000000" w14:paraId="0000004C">
      <w:pPr>
        <w:spacing w:line="360" w:lineRule="auto"/>
        <w:ind w:firstLine="709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360" w:lineRule="auto"/>
        <w:ind w:firstLine="709"/>
        <w:jc w:val="center"/>
        <w:rPr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Imagem 4 – Mostra de profissões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60" w:lineRule="auto"/>
        <w:ind w:firstLine="709"/>
        <w:jc w:val="both"/>
        <w:rPr>
          <w:b w:val="1"/>
        </w:rPr>
      </w:pPr>
      <w:r w:rsidDel="00000000" w:rsidR="00000000" w:rsidRPr="00000000">
        <w:rPr>
          <w:rtl w:val="0"/>
        </w:rPr>
        <w:t xml:space="preserve">                                          </w:t>
      </w:r>
      <w:r w:rsidDel="00000000" w:rsidR="00000000" w:rsidRPr="00000000">
        <w:rPr/>
        <w:drawing>
          <wp:inline distB="0" distT="0" distL="0" distR="0">
            <wp:extent cx="2523490" cy="3091180"/>
            <wp:effectExtent b="0" l="0" r="0" t="0"/>
            <wp:docPr id="159634481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25992" l="2" r="-387" t="18667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3091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firstLine="720"/>
        <w:jc w:val="both"/>
        <w:rPr/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  <w:t xml:space="preserve">                                              Fonte: Metri- Baptista, Cassiana,  2023.</w:t>
      </w:r>
    </w:p>
    <w:p w:rsidR="00000000" w:rsidDel="00000000" w:rsidP="00000000" w:rsidRDefault="00000000" w:rsidRPr="00000000" w14:paraId="00000050">
      <w:pPr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ind w:lef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Eventos ocasionais</w:t>
      </w:r>
    </w:p>
    <w:p w:rsidR="00000000" w:rsidDel="00000000" w:rsidP="00000000" w:rsidRDefault="00000000" w:rsidRPr="00000000" w14:paraId="00000052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Alguns eventos contam com participações dos exemplares da coleção, como é o caso do veleiro ECO da Universidade Federal de Santa Catarina (UFSC), que visitou o município de Paranaguá em 2022, realizando atividades de extensão para a promoção da Cultura oceânica e conscientização ambiental. Durante quatro dias de atividades a coleção participou de ações conjuntas, expondo exemplares e disponibilizando estagiários, discentes do curso de ciências biológicas e mestrandos do programa de Pós-Graduação em Ambientes Litorâneos e Insulares (PALI) da UNESPAR. O evento ocorreu no Palacete Mathias Böhn, recebendo a visita de cerca de 350 estudantes do ensino fundamental e médio das escolas municipais, estaduais e federais (Imagem 5).</w:t>
      </w:r>
    </w:p>
    <w:p w:rsidR="00000000" w:rsidDel="00000000" w:rsidP="00000000" w:rsidRDefault="00000000" w:rsidRPr="00000000" w14:paraId="00000053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</w:t>
      </w:r>
      <w:r w:rsidDel="00000000" w:rsidR="00000000" w:rsidRPr="00000000">
        <w:rPr>
          <w:b w:val="1"/>
          <w:rtl w:val="0"/>
        </w:rPr>
        <w:t xml:space="preserve">magem 5 – Veleiro ECO</w:t>
      </w:r>
    </w:p>
    <w:p w:rsidR="00000000" w:rsidDel="00000000" w:rsidP="00000000" w:rsidRDefault="00000000" w:rsidRPr="00000000" w14:paraId="00000056">
      <w:pPr>
        <w:spacing w:line="360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                              </w:t>
      </w:r>
      <w:r w:rsidDel="00000000" w:rsidR="00000000" w:rsidRPr="00000000">
        <w:rPr/>
        <w:drawing>
          <wp:inline distB="0" distT="0" distL="0" distR="0">
            <wp:extent cx="2960370" cy="2138045"/>
            <wp:effectExtent b="0" l="0" r="0" t="0"/>
            <wp:docPr id="1596344809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2138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                                        Fonte: DA SILVA, Anne Caroline, 2022. </w:t>
      </w:r>
    </w:p>
    <w:p w:rsidR="00000000" w:rsidDel="00000000" w:rsidP="00000000" w:rsidRDefault="00000000" w:rsidRPr="00000000" w14:paraId="00000058">
      <w:pPr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360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 ano de 2023 aconteceu, também no mesmo local a “Mostra 375 anos de Paranaguá e Cultura Caiçara”, marcando a abertura do Projeto de Extensão: Centro Cultural da Unespar Palacete Mathias Böhn - CCPMB/Paranaguá, PR. A programação incluiu apresentação de banners, roda de conversa com professores e alunos, divulgação de material artesanal caiçara, peça teatral, música e a exposição da coleção da biodiversidade. O foco da coleção foi a importância cultural de alguns animais da região, como o caranguejo uçá, um componente importante da alimentação caiçara, além de outros animais. A amostra foi aberta ao público, com entrada gratuita, no período vespertino e noturno.</w:t>
      </w:r>
    </w:p>
    <w:p w:rsidR="00000000" w:rsidDel="00000000" w:rsidP="00000000" w:rsidRDefault="00000000" w:rsidRPr="00000000" w14:paraId="0000005A">
      <w:pPr>
        <w:spacing w:line="360" w:lineRule="auto"/>
        <w:ind w:firstLine="709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5B">
      <w:pPr>
        <w:spacing w:line="360" w:lineRule="auto"/>
        <w:ind w:firstLine="709"/>
        <w:jc w:val="center"/>
        <w:rPr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Imagem 6 – Mostra 375 anos de Paranaguá e Cultura Caiçara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360" w:lineRule="auto"/>
        <w:ind w:firstLine="709"/>
        <w:rPr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                                 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2192316</wp:posOffset>
            </wp:positionH>
            <wp:positionV relativeFrom="paragraph">
              <wp:posOffset>5610</wp:posOffset>
            </wp:positionV>
            <wp:extent cx="1816360" cy="1710757"/>
            <wp:effectExtent b="0" l="0" r="0" t="0"/>
            <wp:wrapTopAndBottom distB="0" distT="0"/>
            <wp:docPr id="159634481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6360" cy="17107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D">
      <w:pPr>
        <w:ind w:firstLine="720"/>
        <w:jc w:val="both"/>
        <w:rPr>
          <w:highlight w:val="yellow"/>
        </w:rPr>
      </w:pPr>
      <w:r w:rsidDel="00000000" w:rsidR="00000000" w:rsidRPr="00000000">
        <w:rPr>
          <w:rtl w:val="0"/>
        </w:rPr>
        <w:t xml:space="preserve">                                         Fonte: Autoria própria (Anne Caroline Da Silva, 2023).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360" w:lineRule="auto"/>
        <w:ind w:firstLine="709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36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Atividades em escolas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maior atuação da coleção foram os empréstimos realizados para escolas e atividades realizadas pelos estagiários e exemplares nas escolas. Destacamos, a ação realizada pelo CMEI Sathie Midorikawa, no qual as professoras do ensino infantil realizam quinzenalmente atividades de educação ambiental. Em uma dessas ações que durou dois dias e atendeu cerca de 150 alunos entre 3 e 5 anos, assim como familiares dos alunos e suas professoras foram utilizados animais da Mata Atlântica, como aves, répteis, anfíbios, insetos e mamíferos.</w:t>
      </w:r>
    </w:p>
    <w:p w:rsidR="00000000" w:rsidDel="00000000" w:rsidP="00000000" w:rsidRDefault="00000000" w:rsidRPr="00000000" w14:paraId="00000061">
      <w:pPr>
        <w:spacing w:line="360" w:lineRule="auto"/>
        <w:ind w:firstLine="709"/>
        <w:jc w:val="both"/>
        <w:rPr>
          <w:b w:val="1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  <w:t xml:space="preserve"> </w:t>
      </w:r>
      <w:r w:rsidDel="00000000" w:rsidR="00000000" w:rsidRPr="00000000">
        <w:rPr>
          <w:b w:val="1"/>
          <w:rtl w:val="0"/>
        </w:rPr>
        <w:t xml:space="preserve"> Imagem 7 – Exposição no CMEI Sathie Midorikawa</w:t>
      </w:r>
    </w:p>
    <w:p w:rsidR="00000000" w:rsidDel="00000000" w:rsidP="00000000" w:rsidRDefault="00000000" w:rsidRPr="00000000" w14:paraId="00000062">
      <w:pPr>
        <w:spacing w:line="360" w:lineRule="auto"/>
        <w:ind w:firstLine="709"/>
        <w:jc w:val="both"/>
        <w:rPr/>
      </w:pPr>
      <w:r w:rsidDel="00000000" w:rsidR="00000000" w:rsidRPr="00000000">
        <w:rPr>
          <w:rtl w:val="0"/>
        </w:rPr>
        <w:t xml:space="preserve">                               </w:t>
      </w:r>
      <w:r w:rsidDel="00000000" w:rsidR="00000000" w:rsidRPr="00000000">
        <w:rPr/>
        <w:drawing>
          <wp:inline distB="0" distT="0" distL="0" distR="0">
            <wp:extent cx="3332766" cy="1874520"/>
            <wp:effectExtent b="0" l="0" r="0" t="0"/>
            <wp:docPr id="159634481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2766" cy="18745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firstLine="720"/>
        <w:jc w:val="center"/>
        <w:rPr/>
      </w:pPr>
      <w:r w:rsidDel="00000000" w:rsidR="00000000" w:rsidRPr="00000000">
        <w:rPr>
          <w:rtl w:val="0"/>
        </w:rPr>
        <w:t xml:space="preserve">Fonte: Instagram (Anne Caroline Da Silva, 2023).</w:t>
      </w:r>
    </w:p>
    <w:p w:rsidR="00000000" w:rsidDel="00000000" w:rsidP="00000000" w:rsidRDefault="00000000" w:rsidRPr="00000000" w14:paraId="00000064">
      <w:pPr>
        <w:spacing w:line="360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Todas as ações receberam feedbacks positivos dos professores e dos estudantes. A coleção vem contribuindo com a popularização da ciência e sensibilização ambiental da  comunidade local, já que a demonstração e manipulação de exemplares aproxima a comunidade dos representantes da fauna local e seu interesse em preservá-los. O uso de exemplares em aulas de biologia possibilita uma aprendizagem mais efetiva, familiarizando o discente com o grupo em estudo e possibilitando a visualização tridimensional e manipulação dos organismos, o que não seria possível através dos livros didáticos (AZEVEDO </w:t>
      </w:r>
      <w:r w:rsidDel="00000000" w:rsidR="00000000" w:rsidRPr="00000000">
        <w:rPr>
          <w:i w:val="1"/>
          <w:sz w:val="24"/>
          <w:szCs w:val="24"/>
          <w:rtl w:val="0"/>
        </w:rPr>
        <w:t xml:space="preserve">et al</w:t>
      </w:r>
      <w:r w:rsidDel="00000000" w:rsidR="00000000" w:rsidRPr="00000000">
        <w:rPr>
          <w:sz w:val="24"/>
          <w:szCs w:val="24"/>
          <w:rtl w:val="0"/>
        </w:rPr>
        <w:t xml:space="preserve">., 2023).</w:t>
      </w:r>
    </w:p>
    <w:p w:rsidR="00000000" w:rsidDel="00000000" w:rsidP="00000000" w:rsidRDefault="00000000" w:rsidRPr="00000000" w14:paraId="00000065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360" w:lineRule="auto"/>
        <w:jc w:val="both"/>
        <w:rPr>
          <w:color w:val="ff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CONSIDERAÇÕES FINAIS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360" w:lineRule="auto"/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coleção da biodiversidade é um recurso essencial para o campus, suprindo as demandas de aulas práticas para o ensino da zoologia, impactando positivamente na formação dos estudantes ao longo dos anos. O uso dos exemplares, além de enriquecer a prática docente nos vários níveis de ensino, contribui com oportunidades de aprendizagem técnica, didática e principalmente interação com o público. Além disso, o projeto rompe as barreiras da academia promovendo a interação com a população local. A interação traz benefícios para divulgação da ciência e a educação ambiental. </w:t>
      </w:r>
    </w:p>
    <w:p w:rsidR="00000000" w:rsidDel="00000000" w:rsidP="00000000" w:rsidRDefault="00000000" w:rsidRPr="00000000" w14:paraId="00000069">
      <w:pPr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Atualmente o projeto participa anualmente de dois eventos, a mostra de profissões da UNESPAR e a Semana do meio ambiente. Suas ações também incluem exposições e participações pontuais em diversos eventos, e principalmente empréstimos para professores, escolas e outros interessados.  Como perspectivas futuras, além da coleção científica, o programa está investindo no uso de tecnologias, se mantendo ativo nas redes sociais com o perfil: @biodiversidade_uespar.</w:t>
      </w:r>
    </w:p>
    <w:p w:rsidR="00000000" w:rsidDel="00000000" w:rsidP="00000000" w:rsidRDefault="00000000" w:rsidRPr="00000000" w14:paraId="0000006A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20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REFERÊNCIAS BIBLIOGRÁFICAS</w:t>
      </w:r>
    </w:p>
    <w:p w:rsidR="00000000" w:rsidDel="00000000" w:rsidP="00000000" w:rsidRDefault="00000000" w:rsidRPr="00000000" w14:paraId="0000006C">
      <w:pPr>
        <w:spacing w:after="20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20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AZEVEDO, H. J. C. C DE.; RIBEIRO, S. A. C.; FARIAS, G DE. P. </w:t>
      </w:r>
      <w:r w:rsidDel="00000000" w:rsidR="00000000" w:rsidRPr="00000000">
        <w:rPr>
          <w:b w:val="1"/>
          <w:sz w:val="24"/>
          <w:szCs w:val="24"/>
          <w:rtl w:val="0"/>
        </w:rPr>
        <w:t xml:space="preserve">O ensino de Zoologia e a confecção de uma coleção zoológica didática.</w:t>
      </w:r>
      <w:r w:rsidDel="00000000" w:rsidR="00000000" w:rsidRPr="00000000">
        <w:rPr>
          <w:sz w:val="24"/>
          <w:szCs w:val="24"/>
          <w:rtl w:val="0"/>
        </w:rPr>
        <w:t xml:space="preserve"> Disponível em: </w:t>
      </w:r>
      <w:hyperlink r:id="rId14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https://educacaopublica.cecierj.edu.br/artigos/20/23/o-ensino-de-zoologia-e-a-confeccao-de-uma-colecao-zoologica-didatica</w:t>
        </w:r>
      </w:hyperlink>
      <w:r w:rsidDel="00000000" w:rsidR="00000000" w:rsidRPr="00000000">
        <w:rPr>
          <w:sz w:val="24"/>
          <w:szCs w:val="24"/>
          <w:rtl w:val="0"/>
        </w:rPr>
        <w:t xml:space="preserve">. Acesso em: 15. out. 2023. </w:t>
      </w:r>
    </w:p>
    <w:p w:rsidR="00000000" w:rsidDel="00000000" w:rsidP="00000000" w:rsidRDefault="00000000" w:rsidRPr="00000000" w14:paraId="0000006E">
      <w:pPr>
        <w:shd w:fill="ffffff" w:val="clear"/>
        <w:spacing w:after="30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BRASIL. [Constituição (1988)]. </w:t>
      </w:r>
      <w:r w:rsidDel="00000000" w:rsidR="00000000" w:rsidRPr="00000000">
        <w:rPr>
          <w:b w:val="1"/>
          <w:sz w:val="24"/>
          <w:szCs w:val="24"/>
          <w:rtl w:val="0"/>
        </w:rPr>
        <w:t xml:space="preserve">Constituição da República Federativa do Brasil</w:t>
      </w:r>
      <w:r w:rsidDel="00000000" w:rsidR="00000000" w:rsidRPr="00000000">
        <w:rPr>
          <w:sz w:val="24"/>
          <w:szCs w:val="24"/>
          <w:rtl w:val="0"/>
        </w:rPr>
        <w:t xml:space="preserve">. Brasília, DF: Senado Federal, 2016. 496 p. Disponível em: https://www2.senado.leg.br/bdsf/bitstream/handle/id/518231/CF88_Livro_EC91_2016.pdf. Acesso em: 06 fevereiro 2023.</w:t>
      </w:r>
    </w:p>
    <w:p w:rsidR="00000000" w:rsidDel="00000000" w:rsidP="00000000" w:rsidRDefault="00000000" w:rsidRPr="00000000" w14:paraId="0000006F">
      <w:pPr>
        <w:spacing w:after="200" w:lineRule="auto"/>
        <w:ind w:right="2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MOYA, M.C.H. Las coleciones en un Museu Interactivo. Cidade do México (MX):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Ediciones Cientificas Universitarias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59-67, 1998.</w:t>
      </w:r>
    </w:p>
    <w:p w:rsidR="00000000" w:rsidDel="00000000" w:rsidP="00000000" w:rsidRDefault="00000000" w:rsidRPr="00000000" w14:paraId="00000070">
      <w:pPr>
        <w:spacing w:after="200" w:lineRule="auto"/>
        <w:ind w:right="20"/>
        <w:jc w:val="both"/>
        <w:rPr/>
      </w:pPr>
      <w:r w:rsidDel="00000000" w:rsidR="00000000" w:rsidRPr="00000000">
        <w:rPr>
          <w:sz w:val="24"/>
          <w:szCs w:val="24"/>
          <w:rtl w:val="0"/>
        </w:rPr>
        <w:t xml:space="preserve">PAPAVERO, Nelson. Fundamentos práticos de taxonomia zoológica. Unesp, 1994.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hd w:fill="ffffff" w:val="clear"/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VOLPI, T. A.; NUNES, L. S.; LOCATELLI, M. V.; MARTINS, T. A. O; SANTOS, V. P. Acervo e técnicas organizacionais de uma coleção didática de Zoologia. </w:t>
      </w:r>
      <w:r w:rsidDel="00000000" w:rsidR="00000000" w:rsidRPr="00000000">
        <w:rPr>
          <w:b w:val="1"/>
          <w:sz w:val="24"/>
          <w:szCs w:val="24"/>
          <w:rtl w:val="0"/>
        </w:rPr>
        <w:t xml:space="preserve">Revista Educação Pública</w:t>
      </w:r>
      <w:r w:rsidDel="00000000" w:rsidR="00000000" w:rsidRPr="00000000">
        <w:rPr>
          <w:sz w:val="24"/>
          <w:szCs w:val="24"/>
          <w:rtl w:val="0"/>
        </w:rPr>
        <w:t xml:space="preserve">, v. 21, nº 7, 2 de março de 2021. Disponível em:</w:t>
      </w:r>
      <w:hyperlink r:id="rId15">
        <w:r w:rsidDel="00000000" w:rsidR="00000000" w:rsidRPr="00000000">
          <w:rPr>
            <w:sz w:val="24"/>
            <w:szCs w:val="24"/>
            <w:rtl w:val="0"/>
          </w:rPr>
          <w:t xml:space="preserve"> https://educacaopublica.cecierj.edu.br/artigos/21/7/acervo-e-tecnicas-organizacionais-de-uma-colecao-didatica-de-zoologia</w:t>
        </w:r>
      </w:hyperlink>
      <w:r w:rsidDel="00000000" w:rsidR="00000000" w:rsidRPr="00000000">
        <w:rPr>
          <w:sz w:val="24"/>
          <w:szCs w:val="24"/>
          <w:rtl w:val="0"/>
        </w:rPr>
        <w:t xml:space="preserve">. Acesso em: 06 fevereiro 2023.</w:t>
      </w:r>
    </w:p>
    <w:p w:rsidR="00000000" w:rsidDel="00000000" w:rsidP="00000000" w:rsidRDefault="00000000" w:rsidRPr="00000000" w14:paraId="00000072">
      <w:pPr>
        <w:spacing w:after="20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200" w:lineRule="auto"/>
        <w:ind w:left="-15" w:right="10" w:firstLine="0"/>
        <w:jc w:val="both"/>
        <w:rPr>
          <w:color w:val="0000ff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16" w:type="default"/>
      <w:footerReference r:id="rId17" w:type="default"/>
      <w:pgSz w:h="16838" w:w="11906" w:orient="portrait"/>
      <w:pgMar w:bottom="1134" w:top="1701" w:left="1701" w:right="1134" w:header="709" w:footer="10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Página 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-1081404</wp:posOffset>
          </wp:positionH>
          <wp:positionV relativeFrom="paragraph">
            <wp:posOffset>52705</wp:posOffset>
          </wp:positionV>
          <wp:extent cx="5857875" cy="923290"/>
          <wp:effectExtent b="0" l="0" r="0" t="0"/>
          <wp:wrapNone/>
          <wp:docPr id="159634481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857875" cy="92329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sz w:val="24"/>
        <w:szCs w:val="24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-1085849</wp:posOffset>
          </wp:positionH>
          <wp:positionV relativeFrom="margin">
            <wp:posOffset>-9084329</wp:posOffset>
          </wp:positionV>
          <wp:extent cx="7682230" cy="1199515"/>
          <wp:effectExtent b="0" l="0" r="0" t="0"/>
          <wp:wrapSquare wrapText="bothSides" distB="0" distT="0" distL="114300" distR="114300"/>
          <wp:docPr id="159634480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-216" l="0" r="0" t="0"/>
                  <a:stretch>
                    <a:fillRect/>
                  </a:stretch>
                </pic:blipFill>
                <pic:spPr>
                  <a:xfrm>
                    <a:off x="0" y="0"/>
                    <a:ext cx="7682230" cy="1199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759775" cy="914400"/>
          <wp:effectExtent b="0" l="0" r="0" t="0"/>
          <wp:docPr id="1596344813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9775" cy="914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568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568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568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9"/>
    <w:qFormat w:val="1"/>
    <w:pPr>
      <w:keepNext w:val="1"/>
      <w:spacing w:after="60" w:before="240"/>
      <w:outlineLvl w:val="0"/>
    </w:pPr>
    <w:rPr>
      <w:rFonts w:ascii="Cambria" w:hAnsi="Cambria"/>
      <w:b w:val="1"/>
      <w:bCs w:val="1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 w:val="1"/>
    <w:unhideWhenUsed w:val="1"/>
    <w:qFormat w:val="1"/>
    <w:locked w:val="1"/>
    <w:rsid w:val="00530BF8"/>
    <w:pPr>
      <w:keepNext w:val="1"/>
      <w:keepLines w:val="1"/>
      <w:spacing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 w:val="1"/>
    <w:pPr>
      <w:keepNext w:val="1"/>
      <w:spacing w:after="60" w:before="240"/>
      <w:outlineLvl w:val="3"/>
    </w:pPr>
    <w:rPr>
      <w:rFonts w:ascii="Calibri" w:hAnsi="Calibri"/>
      <w:b w:val="1"/>
      <w:bCs w:val="1"/>
      <w:sz w:val="28"/>
      <w:szCs w:val="28"/>
    </w:rPr>
  </w:style>
  <w:style w:type="paragraph" w:styleId="Heading5">
    <w:name w:val="heading 5"/>
    <w:basedOn w:val="Normal"/>
    <w:next w:val="Normal"/>
    <w:qFormat w:val="1"/>
    <w:locked w:val="1"/>
    <w:pPr>
      <w:spacing w:after="60" w:before="240"/>
      <w:outlineLvl w:val="4"/>
    </w:pPr>
    <w:rPr>
      <w:b w:val="1"/>
      <w:bCs w:val="1"/>
      <w:i w:val="1"/>
      <w:iCs w:val="1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link w:val="Heading1"/>
    <w:uiPriority w:val="99"/>
    <w:locked w:val="1"/>
    <w:rPr>
      <w:rFonts w:ascii="Cambria" w:cs="Cambria" w:hAnsi="Cambria"/>
      <w:b w:val="1"/>
      <w:bCs w:val="1"/>
      <w:kern w:val="32"/>
      <w:sz w:val="32"/>
      <w:szCs w:val="32"/>
    </w:rPr>
  </w:style>
  <w:style w:type="character" w:styleId="Heading4Char" w:customStyle="1">
    <w:name w:val="Heading 4 Char"/>
    <w:link w:val="Heading4"/>
    <w:uiPriority w:val="99"/>
    <w:semiHidden w:val="1"/>
    <w:locked w:val="1"/>
    <w:rPr>
      <w:rFonts w:ascii="Calibri" w:cs="Calibri" w:hAnsi="Calibri"/>
      <w:b w:val="1"/>
      <w:bCs w:val="1"/>
      <w:sz w:val="28"/>
      <w:szCs w:val="28"/>
    </w:rPr>
  </w:style>
  <w:style w:type="character" w:styleId="Strong">
    <w:name w:val="Strong"/>
    <w:uiPriority w:val="99"/>
    <w:qFormat w:val="1"/>
    <w:rPr>
      <w:b w:val="1"/>
      <w:bCs w:val="1"/>
    </w:rPr>
  </w:style>
  <w:style w:type="character" w:styleId="CommentReference">
    <w:name w:val="annotation reference"/>
    <w:semiHidden w:val="1"/>
    <w:rPr>
      <w:sz w:val="16"/>
      <w:szCs w:val="16"/>
    </w:rPr>
  </w:style>
  <w:style w:type="character" w:styleId="Emphasis">
    <w:name w:val="Emphasis"/>
    <w:uiPriority w:val="99"/>
    <w:qFormat w:val="1"/>
    <w:rPr>
      <w:i w:val="1"/>
      <w:iCs w:val="1"/>
    </w:rPr>
  </w:style>
  <w:style w:type="character" w:styleId="FootnoteReference">
    <w:name w:val="footnote reference"/>
    <w:uiPriority w:val="99"/>
    <w:rPr>
      <w:vertAlign w:val="superscript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TOC2">
    <w:name w:val="toc 2"/>
    <w:basedOn w:val="Normal"/>
    <w:next w:val="Normal"/>
    <w:uiPriority w:val="99"/>
    <w:semiHidden w:val="1"/>
    <w:pPr>
      <w:spacing w:after="100" w:line="276" w:lineRule="auto"/>
      <w:ind w:left="220"/>
    </w:pPr>
    <w:rPr>
      <w:rFonts w:ascii="Calibri" w:cs="Calibri" w:hAnsi="Calibri"/>
      <w:sz w:val="22"/>
      <w:szCs w:val="22"/>
      <w:lang w:eastAsia="en-US"/>
    </w:rPr>
  </w:style>
  <w:style w:type="paragraph" w:styleId="BodyText">
    <w:name w:val="Body Text"/>
    <w:basedOn w:val="Normal"/>
    <w:link w:val="BodyTextChar"/>
    <w:pPr>
      <w:jc w:val="both"/>
    </w:pPr>
    <w:rPr>
      <w:sz w:val="24"/>
      <w:szCs w:val="24"/>
    </w:rPr>
  </w:style>
  <w:style w:type="character" w:styleId="BodyTextChar" w:customStyle="1">
    <w:name w:val="Body Text Char"/>
    <w:link w:val="BodyText"/>
    <w:rPr>
      <w:sz w:val="24"/>
      <w:szCs w:val="24"/>
    </w:rPr>
  </w:style>
  <w:style w:type="paragraph" w:styleId="CommentText">
    <w:name w:val="annotation text"/>
    <w:basedOn w:val="Normal"/>
    <w:link w:val="CommentTextChar"/>
    <w:semiHidden w:val="1"/>
  </w:style>
  <w:style w:type="paragraph" w:styleId="NormalWeb">
    <w:name w:val="Normal (Web)"/>
    <w:basedOn w:val="Normal"/>
    <w:uiPriority w:val="99"/>
    <w:qFormat w:val="1"/>
    <w:pPr>
      <w:spacing w:after="100" w:afterAutospacing="1" w:before="100" w:beforeAutospacing="1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semiHidden w:val="1"/>
    <w:pPr>
      <w:tabs>
        <w:tab w:val="center" w:pos="4252"/>
        <w:tab w:val="right" w:pos="8504"/>
      </w:tabs>
    </w:pPr>
    <w:rPr>
      <w:sz w:val="24"/>
      <w:szCs w:val="24"/>
    </w:rPr>
  </w:style>
  <w:style w:type="character" w:styleId="HeaderChar" w:customStyle="1">
    <w:name w:val="Header Char"/>
    <w:link w:val="Header"/>
    <w:uiPriority w:val="99"/>
    <w:semiHidden w:val="1"/>
    <w:locked w:val="1"/>
    <w:rPr>
      <w:sz w:val="24"/>
      <w:szCs w:val="24"/>
    </w:rPr>
  </w:style>
  <w:style w:type="paragraph" w:styleId="CommentSubject">
    <w:name w:val="annotation subject"/>
    <w:basedOn w:val="CommentText"/>
    <w:next w:val="CommentText"/>
    <w:semiHidden w:val="1"/>
    <w:rPr>
      <w:b w:val="1"/>
      <w:bCs w:val="1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sz w:val="24"/>
      <w:szCs w:val="24"/>
    </w:rPr>
  </w:style>
  <w:style w:type="character" w:styleId="FooterChar" w:customStyle="1">
    <w:name w:val="Footer Char"/>
    <w:link w:val="Footer"/>
    <w:uiPriority w:val="99"/>
    <w:locked w:val="1"/>
    <w:rPr>
      <w:sz w:val="24"/>
      <w:szCs w:val="24"/>
    </w:rPr>
  </w:style>
  <w:style w:type="paragraph" w:styleId="TOC3">
    <w:name w:val="toc 3"/>
    <w:basedOn w:val="Normal"/>
    <w:next w:val="Normal"/>
    <w:uiPriority w:val="99"/>
    <w:semiHidden w:val="1"/>
    <w:pPr>
      <w:spacing w:after="100" w:line="276" w:lineRule="auto"/>
      <w:ind w:left="440"/>
    </w:pPr>
    <w:rPr>
      <w:rFonts w:ascii="Calibri" w:cs="Calibri" w:hAnsi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 w:val="1"/>
    <w:rPr>
      <w:rFonts w:ascii="Tahoma" w:hAnsi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 w:val="1"/>
    <w:locked w:val="1"/>
    <w:rPr>
      <w:rFonts w:ascii="Tahoma" w:cs="Tahoma" w:hAnsi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 w:val="1"/>
  </w:style>
  <w:style w:type="character" w:styleId="FootnoteTextChar" w:customStyle="1">
    <w:name w:val="Footnote Text Char"/>
    <w:link w:val="FootnoteText"/>
    <w:uiPriority w:val="99"/>
    <w:semiHidden w:val="1"/>
  </w:style>
  <w:style w:type="paragraph" w:styleId="TOC1">
    <w:name w:val="toc 1"/>
    <w:basedOn w:val="Normal"/>
    <w:next w:val="Normal"/>
    <w:uiPriority w:val="99"/>
    <w:semiHidden w:val="1"/>
  </w:style>
  <w:style w:type="paragraph" w:styleId="BodyTextIndent">
    <w:name w:val="Body Text Indent"/>
    <w:basedOn w:val="Normal"/>
    <w:pPr>
      <w:spacing w:after="120"/>
      <w:ind w:left="283"/>
    </w:pPr>
  </w:style>
  <w:style w:type="table" w:styleId="TableGrid">
    <w:name w:val="Table Grid"/>
    <w:basedOn w:val="TableNormal"/>
    <w:uiPriority w:val="99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abealhodoSumrio1" w:customStyle="1">
    <w:name w:val="Cabeçalho do Sumário1"/>
    <w:basedOn w:val="Heading1"/>
    <w:next w:val="Normal"/>
    <w:uiPriority w:val="99"/>
    <w:qFormat w:val="1"/>
    <w:pPr>
      <w:outlineLvl w:val="9"/>
    </w:pPr>
  </w:style>
  <w:style w:type="paragraph" w:styleId="Default" w:customStyle="1">
    <w:name w:val="Default"/>
    <w:uiPriority w:val="9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01-Texto" w:customStyle="1">
    <w:name w:val="01 - Texto"/>
    <w:basedOn w:val="Normal"/>
    <w:pPr>
      <w:spacing w:line="360" w:lineRule="auto"/>
      <w:ind w:firstLine="1134"/>
      <w:jc w:val="both"/>
    </w:pPr>
    <w:rPr>
      <w:sz w:val="24"/>
    </w:rPr>
  </w:style>
  <w:style w:type="paragraph" w:styleId="04-Referncias" w:customStyle="1">
    <w:name w:val="04 - Referências"/>
    <w:basedOn w:val="Normal"/>
    <w:pPr>
      <w:spacing w:after="240" w:before="240"/>
    </w:pPr>
    <w:rPr>
      <w:sz w:val="24"/>
    </w:rPr>
  </w:style>
  <w:style w:type="paragraph" w:styleId="4Referncias" w:customStyle="1">
    <w:name w:val="4 Referências"/>
    <w:basedOn w:val="Normal"/>
    <w:pPr>
      <w:spacing w:after="240"/>
    </w:pPr>
    <w:rPr>
      <w:sz w:val="24"/>
    </w:rPr>
  </w:style>
  <w:style w:type="paragraph" w:styleId="NoSpacing">
    <w:name w:val="No Spacing"/>
    <w:uiPriority w:val="1"/>
    <w:qFormat w:val="1"/>
  </w:style>
  <w:style w:type="paragraph" w:styleId="western" w:customStyle="1">
    <w:name w:val="western"/>
    <w:basedOn w:val="Normal"/>
    <w:qFormat w:val="1"/>
    <w:pPr>
      <w:spacing w:after="142" w:before="100" w:beforeAutospacing="1" w:line="288" w:lineRule="auto"/>
    </w:pPr>
    <w:rPr>
      <w:rFonts w:ascii="Calibri" w:hAnsi="Calibri"/>
      <w:color w:val="00000a"/>
      <w:sz w:val="22"/>
      <w:szCs w:val="22"/>
    </w:rPr>
  </w:style>
  <w:style w:type="paragraph" w:styleId="ListParagraph">
    <w:name w:val="List Paragraph"/>
    <w:basedOn w:val="Normal"/>
    <w:uiPriority w:val="34"/>
    <w:qFormat w:val="1"/>
    <w:pPr>
      <w:ind w:left="708"/>
    </w:pPr>
    <w:rPr>
      <w:sz w:val="24"/>
      <w:szCs w:val="24"/>
    </w:rPr>
  </w:style>
  <w:style w:type="character" w:styleId="UnresolvedMention">
    <w:name w:val="Unresolved Mention"/>
    <w:uiPriority w:val="99"/>
    <w:semiHidden w:val="1"/>
    <w:unhideWhenUsed w:val="1"/>
    <w:rsid w:val="00232B15"/>
    <w:rPr>
      <w:color w:val="605e5c"/>
      <w:shd w:color="auto" w:fill="e1dfdd" w:val="clear"/>
    </w:rPr>
  </w:style>
  <w:style w:type="character" w:styleId="CommentTextChar" w:customStyle="1">
    <w:name w:val="Comment Text Char"/>
    <w:basedOn w:val="DefaultParagraphFont"/>
    <w:link w:val="CommentText"/>
    <w:semiHidden w:val="1"/>
    <w:rsid w:val="00A55DFF"/>
  </w:style>
  <w:style w:type="character" w:styleId="apple-converted-space" w:customStyle="1">
    <w:name w:val="apple-converted-space"/>
    <w:basedOn w:val="DefaultParagraphFont"/>
    <w:rsid w:val="00940982"/>
  </w:style>
  <w:style w:type="character" w:styleId="FollowedHyperlink">
    <w:name w:val="FollowedHyperlink"/>
    <w:basedOn w:val="DefaultParagraphFont"/>
    <w:uiPriority w:val="99"/>
    <w:semiHidden w:val="1"/>
    <w:unhideWhenUsed w:val="1"/>
    <w:rsid w:val="00383DFE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unhideWhenUsed w:val="1"/>
    <w:rsid w:val="004D5497"/>
    <w:rPr>
      <w:color w:val="666666"/>
    </w:rPr>
  </w:style>
  <w:style w:type="character" w:styleId="Heading2Char" w:customStyle="1">
    <w:name w:val="Heading 2 Char"/>
    <w:basedOn w:val="DefaultParagraphFont"/>
    <w:link w:val="Heading2"/>
    <w:semiHidden w:val="1"/>
    <w:rsid w:val="00530BF8"/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3.jpg"/><Relationship Id="rId13" Type="http://schemas.openxmlformats.org/officeDocument/2006/relationships/image" Target="media/image6.jp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hyperlink" Target="https://educacaopublica.cecierj.edu.br/artigos/21/7/acervo-e-tecnicas-organizacionais-de-uma-colecao-didatica-de-zoologia" TargetMode="External"/><Relationship Id="rId14" Type="http://schemas.openxmlformats.org/officeDocument/2006/relationships/hyperlink" Target="https://educacaopublica.cecierj.edu.br/artigos/20/23/o-ensino-de-zoologia-e-a-confeccao-de-uma-colecao-zoologica-didatica" TargetMode="External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10.jp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2cHU0Bp9SAQ3jUHFsYSacV0csQ==">CgMxLjAyCWguMzBqMHpsbDgAciExTFlFOEdDbnJkcGhDbUx2MUZoYjNtN3B2TGpZMFBqZFA=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2023-10-06T16:59:00Z</dcterms:created>
  <dc:creator>Akeryus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1046-11.2.0.10200</vt:lpwstr>
  </property>
</Properties>
</file>