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emf" ContentType="image/x-emf"/>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word/footer3.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endnotes.xml" ContentType="application/vnd.openxmlformats-officedocument.wordprocessingml.endnote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word/settings.xml" ContentType="application/vnd.openxmlformats-officedocument.wordprocessingml.settings+xml"/>
  <Override PartName="/word/footnotes.xml" ContentType="application/vnd.openxmlformats-officedocument.wordprocessingml.footnotes+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1117"/>
        <w:jc w:val="center"/>
        <w:rPr>
          <w:b/>
          <w:bCs/>
          <w:sz w:val="24"/>
          <w:szCs w:val="24"/>
        </w:rPr>
      </w:pPr>
      <w:r>
        <w:rPr>
          <w:b/>
          <w:bCs/>
          <w:sz w:val="24"/>
          <w:szCs w:val="24"/>
        </w:rPr>
      </w:r>
      <w:r>
        <w:rPr>
          <w:b/>
          <w:bCs/>
          <w:sz w:val="24"/>
          <w:szCs w:val="24"/>
        </w:rPr>
        <w:t xml:space="preserve">VIOLÊNCIA SEXUAL NA PARANAGUÁ DA DÉCADA DE 1970</w:t>
      </w:r>
      <w:r>
        <w:rPr>
          <w:b/>
          <w:bCs/>
          <w:sz w:val="24"/>
          <w:szCs w:val="24"/>
        </w:rPr>
      </w:r>
      <w:r/>
    </w:p>
    <w:p>
      <w:pPr>
        <w:pStyle w:val="1117"/>
        <w:jc w:val="center"/>
        <w:rPr>
          <w:b/>
          <w:bCs/>
          <w:sz w:val="24"/>
          <w:szCs w:val="24"/>
        </w:rPr>
      </w:pPr>
      <w:r>
        <w:rPr>
          <w:b/>
          <w:bCs/>
          <w:sz w:val="24"/>
          <w:szCs w:val="24"/>
        </w:rPr>
      </w:r>
      <w:r/>
    </w:p>
    <w:p>
      <w:pPr>
        <w:pStyle w:val="1117"/>
        <w:jc w:val="center"/>
        <w:rPr>
          <w:b/>
          <w:bCs/>
          <w:sz w:val="24"/>
          <w:szCs w:val="24"/>
        </w:rPr>
      </w:pPr>
      <w:r>
        <w:rPr>
          <w:b/>
          <w:bCs/>
          <w:sz w:val="24"/>
          <w:szCs w:val="24"/>
        </w:rPr>
      </w:r>
      <w:r/>
    </w:p>
    <w:p>
      <w:pPr>
        <w:pStyle w:val="1117"/>
        <w:jc w:val="right"/>
        <w:rPr>
          <w:sz w:val="24"/>
          <w:szCs w:val="24"/>
        </w:rPr>
      </w:pPr>
      <w:r>
        <w:rPr>
          <w:sz w:val="24"/>
          <w:szCs w:val="24"/>
        </w:rPr>
      </w:r>
      <w:r>
        <w:rPr>
          <w:sz w:val="24"/>
          <w:szCs w:val="24"/>
        </w:rPr>
        <w:t xml:space="preserve">Bárbara Bombasar Faria </w:t>
      </w:r>
      <w:r>
        <w:rPr>
          <w:sz w:val="24"/>
          <w:szCs w:val="24"/>
        </w:rPr>
        <w:t xml:space="preserve">–</w:t>
      </w:r>
      <w:r>
        <w:rPr>
          <w:sz w:val="24"/>
          <w:szCs w:val="24"/>
        </w:rPr>
        <w:t xml:space="preserve"> </w:t>
      </w:r>
      <w:r>
        <w:rPr>
          <w:sz w:val="24"/>
          <w:szCs w:val="24"/>
        </w:rPr>
        <w:t xml:space="preserve">Fundação Araucária</w:t>
      </w:r>
      <w:r>
        <w:rPr>
          <w:sz w:val="24"/>
          <w:szCs w:val="24"/>
        </w:rPr>
      </w:r>
      <w:r/>
    </w:p>
    <w:p>
      <w:pPr>
        <w:pStyle w:val="1117"/>
        <w:jc w:val="right"/>
        <w:rPr>
          <w:sz w:val="24"/>
          <w:szCs w:val="24"/>
        </w:rPr>
      </w:pPr>
      <w:r>
        <w:rPr>
          <w:sz w:val="24"/>
          <w:szCs w:val="24"/>
        </w:rPr>
        <w:t xml:space="preserve">Unespar</w:t>
      </w:r>
      <w:r>
        <w:rPr>
          <w:sz w:val="24"/>
          <w:szCs w:val="24"/>
        </w:rPr>
        <w:t xml:space="preserve">/</w:t>
      </w:r>
      <w:r>
        <w:rPr>
          <w:i/>
          <w:iCs/>
          <w:sz w:val="24"/>
          <w:szCs w:val="24"/>
        </w:rPr>
        <w:t xml:space="preserve">C</w:t>
      </w:r>
      <w:r>
        <w:rPr>
          <w:i/>
          <w:iCs/>
          <w:sz w:val="24"/>
          <w:szCs w:val="24"/>
        </w:rPr>
        <w:t xml:space="preserve">ampus </w:t>
      </w:r>
      <w:r>
        <w:rPr>
          <w:sz w:val="24"/>
          <w:szCs w:val="24"/>
        </w:rPr>
        <w:t xml:space="preserve">de Paranaguá</w:t>
      </w:r>
      <w:r>
        <w:rPr>
          <w:sz w:val="24"/>
          <w:szCs w:val="24"/>
        </w:rPr>
        <w:t xml:space="preserve"> </w:t>
      </w:r>
      <w:r>
        <w:rPr>
          <w:sz w:val="24"/>
          <w:szCs w:val="24"/>
        </w:rPr>
        <w:t xml:space="preserve">–</w:t>
      </w:r>
      <w:r>
        <w:rPr>
          <w:sz w:val="24"/>
          <w:szCs w:val="24"/>
        </w:rPr>
        <w:t xml:space="preserve"> barbarafariababi@gmail.com </w:t>
      </w:r>
      <w:r>
        <w:rPr>
          <w:sz w:val="24"/>
          <w:szCs w:val="24"/>
        </w:rPr>
        <w:t xml:space="preserve"> </w:t>
      </w:r>
      <w:r>
        <w:rPr>
          <w:sz w:val="24"/>
          <w:szCs w:val="24"/>
        </w:rPr>
      </w:r>
      <w:r/>
    </w:p>
    <w:p>
      <w:pPr>
        <w:pStyle w:val="1117"/>
        <w:jc w:val="right"/>
        <w:rPr>
          <w:sz w:val="24"/>
          <w:szCs w:val="24"/>
        </w:rPr>
      </w:pPr>
      <w:r>
        <w:rPr>
          <w:sz w:val="24"/>
          <w:szCs w:val="24"/>
        </w:rPr>
      </w:r>
      <w:r/>
    </w:p>
    <w:p>
      <w:pPr>
        <w:pStyle w:val="1117"/>
        <w:jc w:val="right"/>
        <w:rPr>
          <w:sz w:val="24"/>
          <w:szCs w:val="24"/>
        </w:rPr>
      </w:pPr>
      <w:r>
        <w:rPr>
          <w:sz w:val="24"/>
          <w:szCs w:val="24"/>
        </w:rPr>
        <w:t xml:space="preserve">Kety Carla De March</w:t>
      </w:r>
      <w:r/>
    </w:p>
    <w:p>
      <w:pPr>
        <w:pStyle w:val="1117"/>
        <w:jc w:val="right"/>
        <w:rPr>
          <w:sz w:val="24"/>
          <w:szCs w:val="24"/>
        </w:rPr>
      </w:pPr>
      <w:r>
        <w:rPr>
          <w:sz w:val="24"/>
          <w:szCs w:val="24"/>
        </w:rPr>
        <w:t xml:space="preserve">Unespar</w:t>
      </w:r>
      <w:r>
        <w:rPr>
          <w:sz w:val="24"/>
          <w:szCs w:val="24"/>
        </w:rPr>
        <w:t xml:space="preserve">/</w:t>
      </w:r>
      <w:r>
        <w:rPr>
          <w:i/>
          <w:iCs/>
          <w:sz w:val="24"/>
          <w:szCs w:val="24"/>
        </w:rPr>
        <w:t xml:space="preserve">C</w:t>
      </w:r>
      <w:r>
        <w:rPr>
          <w:i/>
          <w:iCs/>
          <w:sz w:val="24"/>
          <w:szCs w:val="24"/>
        </w:rPr>
        <w:t xml:space="preserve">ampus </w:t>
      </w:r>
      <w:r>
        <w:rPr>
          <w:sz w:val="24"/>
          <w:szCs w:val="24"/>
        </w:rPr>
        <w:t xml:space="preserve">de Paranaguá</w:t>
      </w:r>
      <w:r>
        <w:rPr>
          <w:sz w:val="24"/>
          <w:szCs w:val="24"/>
        </w:rPr>
        <w:t xml:space="preserve"> </w:t>
      </w:r>
      <w:r>
        <w:rPr>
          <w:sz w:val="24"/>
          <w:szCs w:val="24"/>
        </w:rPr>
        <w:t xml:space="preserve">–</w:t>
      </w:r>
      <w:r>
        <w:rPr>
          <w:sz w:val="24"/>
          <w:szCs w:val="24"/>
        </w:rPr>
        <w:t xml:space="preserve"> kety.march@unespar.edu.br</w:t>
      </w:r>
      <w:r>
        <w:rPr>
          <w:sz w:val="24"/>
          <w:szCs w:val="24"/>
        </w:rPr>
        <w:t xml:space="preserve"> </w:t>
      </w:r>
      <w:r>
        <w:rPr>
          <w:sz w:val="24"/>
          <w:szCs w:val="24"/>
        </w:rPr>
      </w:r>
      <w:r/>
    </w:p>
    <w:p>
      <w:pPr>
        <w:pStyle w:val="1117"/>
        <w:jc w:val="left"/>
        <w:rPr>
          <w:sz w:val="24"/>
          <w:szCs w:val="24"/>
        </w:rPr>
      </w:pPr>
      <w:r>
        <w:rPr>
          <w:sz w:val="24"/>
          <w:szCs w:val="24"/>
        </w:rPr>
        <w:t xml:space="preserve"> </w:t>
      </w:r>
      <w:r>
        <w:rPr>
          <w:sz w:val="24"/>
          <w:szCs w:val="24"/>
        </w:rPr>
        <w:t xml:space="preserve"> </w:t>
      </w:r>
      <w:r>
        <w:rPr>
          <w:sz w:val="24"/>
          <w:szCs w:val="24"/>
        </w:rPr>
      </w:r>
      <w:r/>
    </w:p>
    <w:p>
      <w:pPr>
        <w:pStyle w:val="1117"/>
        <w:jc w:val="right"/>
        <w:rPr>
          <w:sz w:val="24"/>
          <w:szCs w:val="24"/>
        </w:rPr>
      </w:pPr>
      <w:r>
        <w:rPr>
          <w:sz w:val="24"/>
          <w:szCs w:val="24"/>
        </w:rPr>
      </w:r>
      <w:r/>
    </w:p>
    <w:p>
      <w:pPr>
        <w:pStyle w:val="1117"/>
        <w:jc w:val="right"/>
        <w:rPr>
          <w:sz w:val="24"/>
          <w:szCs w:val="24"/>
        </w:rPr>
      </w:pPr>
      <w:r>
        <w:rPr>
          <w:sz w:val="24"/>
          <w:szCs w:val="24"/>
        </w:rPr>
      </w:r>
      <w:r>
        <w:rPr>
          <w:sz w:val="24"/>
          <w:szCs w:val="24"/>
        </w:rPr>
        <w:t xml:space="preserve">Programa de Bolsas de Iniciação Científica - PIBIC</w:t>
      </w:r>
      <w:r>
        <w:rPr>
          <w:sz w:val="24"/>
          <w:szCs w:val="24"/>
        </w:rPr>
      </w:r>
      <w:r/>
    </w:p>
    <w:p>
      <w:pPr>
        <w:pStyle w:val="1117"/>
        <w:jc w:val="right"/>
        <w:rPr>
          <w:sz w:val="24"/>
          <w:szCs w:val="24"/>
        </w:rPr>
      </w:pPr>
      <w:r>
        <w:rPr>
          <w:sz w:val="24"/>
          <w:szCs w:val="24"/>
        </w:rPr>
        <w:t xml:space="preserve">Grande Área d</w:t>
      </w:r>
      <w:r>
        <w:rPr>
          <w:sz w:val="24"/>
          <w:szCs w:val="24"/>
        </w:rPr>
        <w:t xml:space="preserve">o </w:t>
      </w:r>
      <w:r>
        <w:rPr>
          <w:sz w:val="24"/>
          <w:szCs w:val="24"/>
        </w:rPr>
        <w:t xml:space="preserve">C</w:t>
      </w:r>
      <w:r>
        <w:rPr>
          <w:sz w:val="24"/>
          <w:szCs w:val="24"/>
        </w:rPr>
        <w:t xml:space="preserve">onhec</w:t>
      </w:r>
      <w:r>
        <w:rPr>
          <w:sz w:val="24"/>
          <w:szCs w:val="24"/>
        </w:rPr>
        <w:t xml:space="preserve">imento:</w:t>
      </w:r>
      <w:r>
        <w:rPr>
          <w:sz w:val="24"/>
          <w:szCs w:val="24"/>
        </w:rPr>
        <w:t xml:space="preserve"> Ciências Humanas</w:t>
      </w:r>
      <w:r/>
    </w:p>
    <w:p>
      <w:pPr>
        <w:pStyle w:val="1132"/>
        <w:rPr>
          <w:i/>
        </w:rPr>
        <w:outlineLvl w:val="0"/>
      </w:pPr>
      <w:r>
        <w:rPr>
          <w:i/>
        </w:rPr>
      </w:r>
      <w:r/>
    </w:p>
    <w:p>
      <w:pPr>
        <w:pStyle w:val="1117"/>
        <w:jc w:val="both"/>
        <w:spacing w:lineRule="auto" w:line="360"/>
        <w:rPr>
          <w:sz w:val="24"/>
          <w:szCs w:val="24"/>
        </w:rPr>
      </w:pPr>
      <w:r>
        <w:rPr>
          <w:b/>
          <w:sz w:val="24"/>
          <w:szCs w:val="24"/>
        </w:rPr>
        <w:t xml:space="preserve">INTRODUÇÃO</w:t>
      </w:r>
      <w:r>
        <w:rPr>
          <w:sz w:val="24"/>
          <w:szCs w:val="24"/>
        </w:rPr>
      </w:r>
      <w:r/>
    </w:p>
    <w:p>
      <w:pPr>
        <w:pStyle w:val="1117"/>
        <w:ind w:firstLine="708"/>
        <w:jc w:val="both"/>
        <w:spacing w:lineRule="auto" w:line="360"/>
        <w:rPr>
          <w:sz w:val="24"/>
          <w:szCs w:val="24"/>
        </w:rPr>
      </w:pPr>
      <w:r>
        <w:rPr>
          <w:sz w:val="24"/>
          <w:szCs w:val="24"/>
        </w:rPr>
      </w:r>
      <w:r/>
    </w:p>
    <w:p>
      <w:pPr>
        <w:pStyle w:val="1117"/>
        <w:ind w:firstLine="708"/>
        <w:jc w:val="both"/>
        <w:spacing w:lineRule="auto" w:line="360"/>
      </w:pPr>
      <w:r>
        <w:rPr>
          <w:sz w:val="24"/>
          <w:szCs w:val="24"/>
        </w:rPr>
        <w:t xml:space="preserve">S</w:t>
      </w:r>
      <w:r>
        <w:rPr>
          <w:sz w:val="24"/>
          <w:szCs w:val="24"/>
        </w:rPr>
        <w:t xml:space="preserve">aindo de uma festa ou do trabalho; voltando para casa ou somente transitando pela cidade a noite. Assim se inicia parte das declarações em processos criminais de violência sexual na Paranaguá (PR) da década de 1970. Mulheres tentam provar para a Justiça a </w:t>
      </w:r>
      <w:r>
        <w:rPr>
          <w:sz w:val="24"/>
          <w:szCs w:val="24"/>
        </w:rPr>
        <w:t xml:space="preserve">violência cometida contra seus corpos. Do outro lado estão os acusados, homens de todas as idades que se escondem atrás de uma suposta naturalidade em possuir o corpo feminino, mesmo que a força. Atravé</w:t>
      </w:r>
      <w:r>
        <w:rPr>
          <w:sz w:val="24"/>
          <w:szCs w:val="24"/>
        </w:rPr>
        <w:t xml:space="preserve">s</w:t>
      </w:r>
      <w:r>
        <w:rPr>
          <w:sz w:val="24"/>
          <w:szCs w:val="24"/>
        </w:rPr>
        <w:t xml:space="preserve"> de 9 processos criminais instaurados na década de 1970, enquadrados como crime de estupro, analisaremos de que modo relações de poder se apresentam no interior das narrativas construídas nessas peças, sob o enfoque da categoria analítica de gênero, com o </w:t>
      </w:r>
      <w:r>
        <w:rPr>
          <w:sz w:val="24"/>
          <w:szCs w:val="24"/>
        </w:rPr>
        <w:t xml:space="preserve">respaldo da historiadora Joan Scott (1995).</w:t>
      </w:r>
      <w:r>
        <w:rPr>
          <w:sz w:val="24"/>
          <w:szCs w:val="24"/>
        </w:rPr>
      </w:r>
      <w:r/>
    </w:p>
    <w:p>
      <w:pPr>
        <w:pStyle w:val="1117"/>
        <w:ind w:firstLine="708"/>
        <w:jc w:val="both"/>
        <w:spacing w:lineRule="auto" w:line="360"/>
      </w:pPr>
      <w:r>
        <w:rPr>
          <w:sz w:val="24"/>
          <w:szCs w:val="24"/>
        </w:rPr>
        <w:t xml:space="preserve">Q</w:t>
      </w:r>
      <w:r>
        <w:rPr>
          <w:sz w:val="24"/>
          <w:szCs w:val="24"/>
        </w:rPr>
        <w:t xml:space="preserve">uando delimitamos nossas fontes em processos criminais de violência sexual, dirigindo nosso olhar às narrativas produzidas e à legislação em voga e seu uso, estamos motivados por problemas do nosso próprio tempo, pois tais questões ainda são problemáticas </w:t>
      </w:r>
      <w:r>
        <w:rPr>
          <w:sz w:val="24"/>
          <w:szCs w:val="24"/>
        </w:rPr>
        <w:t xml:space="preserve">relevantes. O Estado do Paraná apresentou, em 2020, o 2º maior índice de casos de estupros do Brasil, carregando a posição também nos anos anteriores</w:t>
      </w:r>
      <w:r>
        <w:rPr>
          <w:rStyle w:val="1103"/>
          <w:sz w:val="24"/>
          <w:szCs w:val="24"/>
        </w:rPr>
        <w:footnoteReference w:id="2"/>
      </w:r>
      <w:r>
        <w:rPr>
          <w:sz w:val="24"/>
          <w:szCs w:val="24"/>
        </w:rPr>
        <w:t xml:space="preserve">. Tais dados podem não refletir uma realidade numérica exata, dado que em crimes sexuais o silêncio é cúmpli</w:t>
      </w:r>
      <w:r>
        <w:rPr>
          <w:sz w:val="24"/>
          <w:szCs w:val="24"/>
        </w:rPr>
        <w:t xml:space="preserve">ce da violência. Por medo ou por vergonha as vítimas relutam em denunciar</w:t>
      </w:r>
      <w:r>
        <w:rPr>
          <w:rStyle w:val="1103"/>
          <w:sz w:val="24"/>
          <w:szCs w:val="24"/>
        </w:rPr>
        <w:footnoteReference w:id="3"/>
      </w:r>
      <w:r>
        <w:rPr>
          <w:sz w:val="24"/>
          <w:szCs w:val="24"/>
        </w:rPr>
        <w:t xml:space="preserve">. Paranaguá, como região portuária, é parte importante desse Estado, conservando características singulares (mais tarde abordado). Conforme levantamento das fontes processuais de 1970 n</w:t>
      </w:r>
      <w:r>
        <w:rPr>
          <w:sz w:val="24"/>
          <w:szCs w:val="24"/>
        </w:rPr>
        <w:t xml:space="preserve">os arquivos da 1ª Vara Criminal do Fórum da Comarca de Paranaguá, evidencia-se peças marcadas pela violência sexual. Configuram-se como fontes escritas, primárias e oficiais, que revelam alta potencialidade de pesquisa. A partir da análise dos referido</w:t>
      </w:r>
      <w:r>
        <w:rPr>
          <w:sz w:val="24"/>
          <w:szCs w:val="24"/>
        </w:rPr>
        <w:t xml:space="preserve">s documentos, identificamos as narrativas pautadas no gênero, tidas como legitimadoras dessa forma de violência.</w:t>
      </w:r>
      <w:r>
        <w:rPr>
          <w:sz w:val="24"/>
          <w:szCs w:val="24"/>
        </w:rPr>
      </w:r>
      <w:r/>
    </w:p>
    <w:p>
      <w:pPr>
        <w:pStyle w:val="1117"/>
        <w:ind w:firstLine="708"/>
        <w:jc w:val="both"/>
        <w:spacing w:lineRule="auto" w:line="360"/>
      </w:pPr>
      <w:r>
        <w:rPr>
          <w:sz w:val="24"/>
          <w:szCs w:val="24"/>
        </w:rPr>
        <w:t xml:space="preserve">No geral, 1970 é uma década de mudanças comportamentais e adventos tecnológicos voltados ao mercado de trabalho. A industrialização insere mais mulheres no mercado de trabalho formal, e é nessas mulheres que o feminismo brasileiro encon</w:t>
      </w:r>
      <w:r>
        <w:rPr>
          <w:sz w:val="24"/>
          <w:szCs w:val="24"/>
        </w:rPr>
        <w:t xml:space="preserve">tra seu sujeito</w:t>
      </w:r>
      <w:r>
        <w:rPr>
          <w:rStyle w:val="1103"/>
          <w:sz w:val="24"/>
          <w:szCs w:val="24"/>
        </w:rPr>
        <w:footnoteReference w:id="4"/>
      </w:r>
      <w:r>
        <w:rPr>
          <w:sz w:val="24"/>
          <w:szCs w:val="24"/>
        </w:rPr>
        <w:t xml:space="preserve">, moldado para a realidade Brasileira, com sua consolidação no final da década. Em 1975, a ONU criou o ano internacional da mulher, e surgiu, no Paraná, o Movimento Feminino pela Anistia. No mesmo Estado, encontra-se Paranaguá, c</w:t>
      </w:r>
      <w:r>
        <w:rPr>
          <w:sz w:val="24"/>
          <w:szCs w:val="24"/>
        </w:rPr>
        <w:t xml:space="preserve">i</w:t>
      </w:r>
      <w:r>
        <w:rPr>
          <w:sz w:val="24"/>
          <w:szCs w:val="24"/>
        </w:rPr>
        <w:t xml:space="preserve">dade com  centro tombado como patrimônio histórico, cenário de muitos dos crimes descritos nas fontes visitadas. Nesse período a Comarca de Paranaguá se estendia até o atual município de Matinhos – tal característica a tornava atrativa como destino turísti</w:t>
      </w:r>
      <w:r>
        <w:rPr>
          <w:sz w:val="24"/>
          <w:szCs w:val="24"/>
        </w:rPr>
        <w:t xml:space="preserve">c</w:t>
      </w:r>
      <w:r>
        <w:rPr>
          <w:sz w:val="24"/>
          <w:szCs w:val="24"/>
        </w:rPr>
        <w:t xml:space="preserve">o e viagens de veraneio. O trânsito constante de visitantes, moradores, trabalhadores itinerantes sugere sua diversidade e riqueza cultural. Contudo, não foram encontrados outros estudos sobre o tema proposto – a história de Paranaguá se volta ao aspecto c</w:t>
      </w:r>
      <w:r>
        <w:rPr>
          <w:sz w:val="24"/>
          <w:szCs w:val="24"/>
        </w:rPr>
        <w:t xml:space="preserve">olonial da cidade, ignorando os sujeitos comuns e subalternos.</w:t>
      </w:r>
      <w:r>
        <w:rPr>
          <w:sz w:val="24"/>
          <w:szCs w:val="24"/>
        </w:rPr>
      </w:r>
      <w:r/>
    </w:p>
    <w:p>
      <w:pPr>
        <w:pStyle w:val="1117"/>
        <w:ind w:firstLine="708"/>
        <w:jc w:val="both"/>
        <w:spacing w:lineRule="auto" w:line="360"/>
      </w:pPr>
      <w:r>
        <w:rPr>
          <w:sz w:val="24"/>
          <w:szCs w:val="24"/>
        </w:rPr>
        <w:t xml:space="preserve">D</w:t>
      </w:r>
      <w:r>
        <w:rPr>
          <w:sz w:val="24"/>
          <w:szCs w:val="24"/>
        </w:rPr>
        <w:t xml:space="preserve">urante a década de 1970, vigorava o Código Penal de 1940. Antes dele, a legislação criminal brasileira já discorria sobre os crimes sexuais, como o Código Criminal do Império, de 1830, no capítulo II, intitulado: Dos crimes contra a segurança da honra, em </w:t>
      </w:r>
      <w:r>
        <w:rPr>
          <w:sz w:val="24"/>
          <w:szCs w:val="24"/>
        </w:rPr>
        <w:t xml:space="preserve">que uma série de artigos tratando de relações carnais eram tidos sob a concepção genérica de estupro. O primeiro Código Penal da República foi decretado em 1890 e o estupro encontrava-se no Título VIII</w:t>
      </w:r>
      <w:r>
        <w:rPr>
          <w:sz w:val="24"/>
          <w:szCs w:val="24"/>
        </w:rPr>
        <w:t xml:space="preserve">, no art. 268 “Estuprar mulher virgem ou não, mas honesta”, distinguia-se as penas quando mulher honesta, e quando “mulher pública ou prostituta”. Define-se, portanto, o estupro como o ato consumado contra mulher, </w:t>
      </w:r>
      <w:r>
        <w:rPr>
          <w:sz w:val="24"/>
          <w:szCs w:val="24"/>
        </w:rPr>
        <w:t xml:space="preserve">por meio da violência física ou moral, ignorando sua vontade (CASTRO, 1897, p. 88). A violência, portanto, não é somente o emprego da força física, mas também exercida por meio da privação da vontade da vítima por meio de ameaças, </w:t>
      </w:r>
      <w:r>
        <w:rPr>
          <w:sz w:val="24"/>
          <w:szCs w:val="24"/>
        </w:rPr>
        <w:t xml:space="preserve">definidas por Castro (1897), como “todas as intimidações que possam pôr em perigo a honra, a vida, os mais graves interesses da mulher ou se sua família” (p. 95). </w:t>
      </w:r>
      <w:r>
        <w:rPr>
          <w:sz w:val="24"/>
          <w:szCs w:val="24"/>
        </w:rPr>
        <w:t xml:space="preserve">N</w:t>
      </w:r>
      <w:r>
        <w:rPr>
          <w:sz w:val="24"/>
          <w:szCs w:val="24"/>
        </w:rPr>
        <w:t xml:space="preserve">o Código Penal de 1940, ocorrem avanços quanto à legislação sobre crimes de natureza sexual. Para Mestieri, há afastamento ao código anterior e o crime de estupro tem seu enunciado simplificado, no Título VI “Dos crimes contra os costumes”, capítulo 1 “Dos</w:t>
      </w:r>
      <w:r>
        <w:rPr>
          <w:sz w:val="24"/>
          <w:szCs w:val="24"/>
        </w:rPr>
        <w:t xml:space="preserve"> </w:t>
      </w:r>
      <w:r>
        <w:rPr>
          <w:sz w:val="24"/>
          <w:szCs w:val="24"/>
        </w:rPr>
        <w:t xml:space="preserve">crimes contra a liberdade sexual”, art. 213: “Constranger mulher à conjunção carnal, mediante violência ou grave ameaça.”. As penas previstas são reclusão de três a oito anos, e se a vítima for menor de quatorze anos, reclusão de seis a dez anos. Mestieri </w:t>
      </w:r>
      <w:r>
        <w:rPr>
          <w:sz w:val="24"/>
          <w:szCs w:val="24"/>
        </w:rPr>
        <w:t xml:space="preserve">d</w:t>
      </w:r>
      <w:r>
        <w:rPr>
          <w:sz w:val="24"/>
          <w:szCs w:val="24"/>
        </w:rPr>
        <w:t xml:space="preserve">enuncia o caráter genérico do termo “constranger”, que, acompanhado de expressões limitantes, como “por violência” e “grave ameaça”, deixava de fora a fraude (MESTIERI, 1982). Esse crime é, portanto, estabelecido como o ato de constranger a vítima, obrigat</w:t>
      </w:r>
      <w:r>
        <w:rPr>
          <w:sz w:val="24"/>
          <w:szCs w:val="24"/>
        </w:rPr>
        <w:t xml:space="preserve">o</w:t>
      </w:r>
      <w:r>
        <w:rPr>
          <w:sz w:val="24"/>
          <w:szCs w:val="24"/>
        </w:rPr>
        <w:t xml:space="preserve">riamente mulher, à cópula vaginal, por meio de violência ou grave ameaça. Sem a introdução do pênis por via vaginal não havia configuração da conjunção carnal. Esse entendimento legal reforçava a compreensão social de que o ato de estupro estava associado </w:t>
      </w:r>
      <w:r>
        <w:rPr>
          <w:sz w:val="24"/>
          <w:szCs w:val="24"/>
        </w:rPr>
        <w:t xml:space="preserve">ao sexo e que, portanto, separava homens e mulheres como ativos e passivos nessas relações. Tal percepção silenciava o aspecto de poder envolto nessa violência, que reforçava papeis sexuais e assimetrias de gênero. </w:t>
      </w:r>
      <w:r>
        <w:rPr>
          <w:sz w:val="24"/>
          <w:szCs w:val="24"/>
        </w:rPr>
        <w:t xml:space="preserve"> </w:t>
      </w:r>
      <w:r>
        <w:rPr>
          <w:b/>
          <w:sz w:val="24"/>
          <w:szCs w:val="24"/>
        </w:rPr>
      </w:r>
      <w:r/>
    </w:p>
    <w:p>
      <w:pPr>
        <w:pStyle w:val="1117"/>
        <w:ind w:firstLine="708"/>
        <w:jc w:val="both"/>
        <w:spacing w:lineRule="auto" w:line="360"/>
        <w:tabs>
          <w:tab w:val="left" w:pos="1890" w:leader="none"/>
        </w:tabs>
        <w:rPr>
          <w:b/>
          <w:sz w:val="24"/>
          <w:szCs w:val="24"/>
        </w:rPr>
      </w:pPr>
      <w:r>
        <w:rPr>
          <w:sz w:val="24"/>
          <w:szCs w:val="24"/>
        </w:rPr>
        <w:tab/>
      </w:r>
      <w:r>
        <w:rPr>
          <w:b/>
          <w:sz w:val="24"/>
          <w:szCs w:val="24"/>
        </w:rPr>
      </w:r>
      <w:r/>
    </w:p>
    <w:p>
      <w:pPr>
        <w:pStyle w:val="1117"/>
        <w:jc w:val="both"/>
        <w:spacing w:lineRule="auto" w:line="360"/>
        <w:rPr>
          <w:color w:val="FF0000"/>
          <w:sz w:val="24"/>
          <w:szCs w:val="24"/>
        </w:rPr>
      </w:pPr>
      <w:r>
        <w:rPr>
          <w:b/>
          <w:sz w:val="24"/>
          <w:szCs w:val="24"/>
        </w:rPr>
        <w:t xml:space="preserve">MATERIAIS E </w:t>
      </w:r>
      <w:r>
        <w:rPr>
          <w:b/>
          <w:sz w:val="24"/>
          <w:szCs w:val="24"/>
        </w:rPr>
        <w:t xml:space="preserve">MÉTODO</w:t>
      </w:r>
      <w:r>
        <w:rPr>
          <w:b/>
          <w:sz w:val="24"/>
          <w:szCs w:val="24"/>
        </w:rPr>
        <w:t xml:space="preserve">S</w:t>
      </w:r>
      <w:r>
        <w:rPr>
          <w:color w:val="FF0000"/>
          <w:sz w:val="24"/>
          <w:szCs w:val="24"/>
        </w:rPr>
      </w:r>
      <w:r/>
    </w:p>
    <w:p>
      <w:pPr>
        <w:pStyle w:val="1117"/>
        <w:ind w:right="23" w:firstLine="709"/>
        <w:jc w:val="both"/>
        <w:spacing w:lineRule="auto" w:line="360"/>
        <w:rPr>
          <w:sz w:val="24"/>
          <w:szCs w:val="24"/>
        </w:rPr>
      </w:pPr>
      <w:r>
        <w:rPr>
          <w:sz w:val="24"/>
          <w:szCs w:val="24"/>
        </w:rPr>
      </w:r>
      <w:r/>
    </w:p>
    <w:p>
      <w:pPr>
        <w:pStyle w:val="1117"/>
        <w:ind w:right="23" w:firstLine="709"/>
        <w:jc w:val="both"/>
        <w:spacing w:lineRule="auto" w:line="360"/>
      </w:pPr>
      <w:r>
        <w:rPr>
          <w:sz w:val="24"/>
          <w:szCs w:val="24"/>
        </w:rPr>
        <w:t xml:space="preserve">K</w:t>
      </w:r>
      <w:r>
        <w:rPr>
          <w:sz w:val="24"/>
          <w:szCs w:val="24"/>
        </w:rPr>
        <w:t xml:space="preserve">eila Grinberg (2009) e Marisa Corrêa (1983) nos guiam pelos meandros do arquivo judiciário. Para elas, devemos compreender o caráter fantástico do processo contido na  fábula ou ficção produzida através das narrativas transcritas. O que se instaura nas pág</w:t>
      </w:r>
      <w:r>
        <w:rPr>
          <w:sz w:val="24"/>
          <w:szCs w:val="24"/>
        </w:rPr>
        <w:t xml:space="preserve">inas é uma disputa pelo desfecho que decidirá o destino de sujeitos, tanto vítima quanto réu, e que acionam relações de poder ao tentarem legitimar seus atos, ou reprovar os do outro. </w:t>
      </w:r>
      <w:r>
        <w:rPr>
          <w:sz w:val="24"/>
          <w:szCs w:val="24"/>
        </w:rPr>
        <w:t xml:space="preserve">O</w:t>
      </w:r>
      <w:r>
        <w:rPr>
          <w:sz w:val="24"/>
          <w:szCs w:val="24"/>
        </w:rPr>
        <w:t xml:space="preserve"> processo-crime coloca diante dos olhos do leitor vidas de sujeitos subalternos, pessoas de existências infames, que, quando em contato com aquilo que Foucault (1992) chama de poder, se veem arrancadas de seu cotidiano ordinário e inseridas na peça que se </w:t>
      </w:r>
      <w:r>
        <w:rPr>
          <w:sz w:val="24"/>
          <w:szCs w:val="24"/>
        </w:rPr>
        <w:t xml:space="preserve">e</w:t>
      </w:r>
      <w:r>
        <w:rPr>
          <w:sz w:val="24"/>
          <w:szCs w:val="24"/>
        </w:rPr>
        <w:t xml:space="preserve">labora. Observaremos como esse encontro se constitui em nossas fontes criminais, sendo esta a primeira relação de poder que se desenrola: do sujeito com a justiça. O autor defende que sem essa interação, tais existências estariam destinadas ao esquecimento</w:t>
      </w:r>
      <w:r>
        <w:rPr>
          <w:sz w:val="24"/>
          <w:szCs w:val="24"/>
        </w:rPr>
        <w:t xml:space="preserve">.</w:t>
      </w:r>
      <w:r>
        <w:rPr>
          <w:sz w:val="24"/>
          <w:szCs w:val="24"/>
        </w:rPr>
      </w:r>
      <w:r/>
    </w:p>
    <w:p>
      <w:pPr>
        <w:pStyle w:val="1117"/>
        <w:ind w:right="23" w:firstLine="709"/>
        <w:jc w:val="both"/>
        <w:spacing w:lineRule="auto" w:line="360"/>
      </w:pPr>
      <w:r>
        <w:rPr>
          <w:sz w:val="24"/>
          <w:szCs w:val="24"/>
        </w:rPr>
        <w:t xml:space="preserve">P</w:t>
      </w:r>
      <w:r>
        <w:rPr>
          <w:sz w:val="24"/>
          <w:szCs w:val="24"/>
        </w:rPr>
        <w:t xml:space="preserve">ara Corrêa (1983), durante o processo criminal se desenvolve uma fábula a partir das estratégias empregadas pelos personagens envolvidos. Grinberg demonstra que o processo se constitui como busca ou produção de uma verdade – ressaltando que se busca, e não</w:t>
      </w:r>
      <w:r>
        <w:rPr>
          <w:sz w:val="24"/>
          <w:szCs w:val="24"/>
        </w:rPr>
        <w:t xml:space="preserve"> </w:t>
      </w:r>
      <w:r>
        <w:rPr>
          <w:sz w:val="24"/>
          <w:szCs w:val="24"/>
        </w:rPr>
        <w:t xml:space="preserve">que se encontra, uma verdade –, portanto os depoimentos seriam ficções tendenciosas, algo semelhante ao que Foucault (2002) chama de “verdade jurídica". Grinberg (2009) ressalta a importância de entender que é o julgamento do suposto crime que o funda, poi</w:t>
      </w:r>
      <w:r>
        <w:rPr>
          <w:sz w:val="24"/>
          <w:szCs w:val="24"/>
        </w:rPr>
        <w:t xml:space="preserve">s</w:t>
      </w:r>
      <w:r>
        <w:rPr>
          <w:sz w:val="24"/>
          <w:szCs w:val="24"/>
        </w:rPr>
        <w:t xml:space="preserve"> não há fatos criminais em si, antes, são fundamentados por um discurso criminal, cujo funcionamento e mudança devemos estar atentos. Esses discursos, para Foucault (2002), encerram a ficção na qual se busca produzir um desfecho favorável à parte em questã</w:t>
      </w:r>
      <w:r>
        <w:rPr>
          <w:sz w:val="24"/>
          <w:szCs w:val="24"/>
        </w:rPr>
        <w:t xml:space="preserve">o</w:t>
      </w:r>
      <w:r>
        <w:rPr>
          <w:sz w:val="24"/>
          <w:szCs w:val="24"/>
        </w:rPr>
        <w:t xml:space="preserve"> (seja acusação ou defesa). Para produzir esse desfecho, é necessário diálogo com o real representado pelo crime em julgamento e com as normas sociais que se articulam entre masculinidades e feminilidades, ao se tratar de crimes de violência de gênero. Ess</w:t>
      </w:r>
      <w:r>
        <w:rPr>
          <w:sz w:val="24"/>
          <w:szCs w:val="24"/>
        </w:rPr>
        <w:t xml:space="preserve">a fonte necessita de determinados cuidados – como a já citada atenção à ficção e à ilusão de veracidade. Grinberg (2009) aponta a importância de conhecer a legislação para compreender a lógica do caso e suas articulações. Corrêa (1983) nos fala da interm</w:t>
      </w:r>
      <w:r>
        <w:rPr>
          <w:sz w:val="24"/>
          <w:szCs w:val="24"/>
        </w:rPr>
        <w:t xml:space="preserve">ediação que se sucede dentro das peças criminais. Apesar de termos acesso a partes de existências desafortunadas, não encontramos suas falas cruas, inalteradas, dada a interferência de atores jurídicos responsáveis por decidir o que será registrado e como</w:t>
      </w:r>
      <w:r>
        <w:rPr>
          <w:sz w:val="24"/>
          <w:szCs w:val="24"/>
        </w:rPr>
        <w:t xml:space="preserve">, intermediários entre o que é dito e o que é escrito. A manipulação técnica feita por esses atores (delegados, escrivães, advogados) atua em mecanismos regrados, mas que, não obstante, possuem uma margem de liberdade ao efetuarem escolhas do </w:t>
      </w:r>
      <w:r>
        <w:rPr>
          <w:sz w:val="24"/>
          <w:szCs w:val="24"/>
        </w:rPr>
        <w:t xml:space="preserve">que é escrito. Analisamos como são empregadas estratégias dentro dessa margem de liberdade. </w:t>
      </w:r>
      <w:r>
        <w:rPr>
          <w:sz w:val="24"/>
          <w:szCs w:val="24"/>
        </w:rPr>
      </w:r>
      <w:r/>
    </w:p>
    <w:p>
      <w:pPr>
        <w:pStyle w:val="1117"/>
        <w:ind w:right="23" w:firstLine="709"/>
        <w:jc w:val="both"/>
        <w:spacing w:lineRule="auto" w:line="360"/>
      </w:pPr>
      <w:r>
        <w:rPr>
          <w:sz w:val="24"/>
          <w:szCs w:val="24"/>
        </w:rPr>
        <w:t xml:space="preserve">Nos baseamos em doutrinadores jurídicos como Castro (1897), Mestieri (1982) e  Noronha (1943), para realizarmos o estudo da legislação e do pensamento jurídico sobre o tema para compreendermos parcialmente o desenvolver legal em re</w:t>
      </w:r>
      <w:r>
        <w:rPr>
          <w:sz w:val="24"/>
          <w:szCs w:val="24"/>
        </w:rPr>
        <w:t xml:space="preserve">l</w:t>
      </w:r>
      <w:r>
        <w:rPr>
          <w:sz w:val="24"/>
          <w:szCs w:val="24"/>
        </w:rPr>
        <w:t xml:space="preserve">ação aos crimes sexuais. Realizamos ainda o fichamento do rol documental, selecionando passagens marcadas por produções narrativas, como depoimentos, interrogatórios, pareceres, etc. O fichamento foi encabeçado por uma tabela que reúne dados quantitativos </w:t>
      </w:r>
      <w:r>
        <w:rPr>
          <w:sz w:val="24"/>
          <w:szCs w:val="24"/>
        </w:rPr>
        <w:t xml:space="preserve">–</w:t>
      </w:r>
      <w:r>
        <w:rPr>
          <w:sz w:val="24"/>
          <w:szCs w:val="24"/>
        </w:rPr>
        <w:t xml:space="preserve"> nomes, idades, datas e desfecho. Operamos sob o olhar crítico de gênero e procuramos nesse trabalho identificar as argumentações comuns entre os processos selecionados, aquelas fundamentadas nas relações de poder intrínsecas às relações de gênero. As repe</w:t>
      </w:r>
      <w:r>
        <w:rPr>
          <w:sz w:val="24"/>
          <w:szCs w:val="24"/>
        </w:rPr>
        <w:t xml:space="preserve">tições narrativas são indicativos de naturalização de comportamentos e podem ajudar, como nos ensina Grinberg (2009), a encontrar na ficção, no extraordinário, a normalidade social. </w:t>
      </w:r>
      <w:r>
        <w:rPr>
          <w:sz w:val="24"/>
          <w:szCs w:val="24"/>
        </w:rPr>
      </w:r>
      <w:r/>
    </w:p>
    <w:p>
      <w:pPr>
        <w:pStyle w:val="1117"/>
        <w:ind w:firstLine="709"/>
        <w:jc w:val="both"/>
        <w:spacing w:lineRule="auto" w:line="360"/>
        <w:rPr>
          <w:strike/>
          <w:sz w:val="24"/>
          <w:szCs w:val="24"/>
        </w:rPr>
      </w:pPr>
      <w:r>
        <w:rPr>
          <w:strike/>
          <w:sz w:val="24"/>
          <w:szCs w:val="24"/>
        </w:rPr>
      </w:r>
      <w:r/>
    </w:p>
    <w:p>
      <w:pPr>
        <w:pStyle w:val="1117"/>
        <w:jc w:val="both"/>
        <w:spacing w:lineRule="auto" w:line="360"/>
        <w:rPr>
          <w:color w:val="FF0000"/>
          <w:sz w:val="24"/>
          <w:szCs w:val="24"/>
          <w:highlight w:val="none"/>
        </w:rPr>
      </w:pPr>
      <w:r/>
      <w:bookmarkStart w:id="0" w:name="page3"/>
      <w:r/>
      <w:bookmarkEnd w:id="0"/>
      <w:r>
        <w:rPr>
          <w:b/>
          <w:sz w:val="24"/>
          <w:szCs w:val="24"/>
        </w:rPr>
        <w:t xml:space="preserve">RESULTADOS E DISCUSSÕES </w:t>
      </w:r>
      <w:r>
        <w:rPr>
          <w:color w:val="FF0000"/>
          <w:sz w:val="24"/>
          <w:szCs w:val="24"/>
          <w:highlight w:val="none"/>
        </w:rPr>
      </w:r>
      <w:r/>
    </w:p>
    <w:p>
      <w:pPr>
        <w:ind w:firstLine="709"/>
        <w:jc w:val="both"/>
        <w:spacing w:lineRule="auto" w:line="360"/>
        <w:rPr>
          <w:sz w:val="24"/>
        </w:rPr>
      </w:pPr>
      <w:r>
        <w:rPr>
          <w:sz w:val="24"/>
          <w:szCs w:val="24"/>
        </w:rPr>
        <w:t xml:space="preserve">No Brasil, os crimes sexuais fazem parte dos crimes contra os costumes</w:t>
      </w:r>
      <w:r>
        <w:rPr>
          <w:sz w:val="24"/>
          <w:szCs w:val="24"/>
        </w:rPr>
        <w:t xml:space="preserve"> e legalmente só podem ser instaurados mediante que</w:t>
      </w:r>
      <w:r>
        <w:rPr>
          <w:sz w:val="24"/>
          <w:szCs w:val="24"/>
        </w:rPr>
        <w:t xml:space="preserve">ixa criminal. Não são levados a júri popular, o que nos permite pensar que as articulações de acusação e defesa são direcionadas a um interlocutor específico: o juiz, que detém conhecimento dos meandros da legislação e, ao mesmo tempo, também é</w:t>
      </w:r>
      <w:r>
        <w:rPr>
          <w:sz w:val="24"/>
          <w:szCs w:val="24"/>
        </w:rPr>
        <w:t xml:space="preserve"> sujeito social. É para ele que as narrativas são construídas. </w:t>
      </w:r>
      <w:r>
        <w:rPr>
          <w:sz w:val="24"/>
          <w:szCs w:val="24"/>
        </w:rPr>
        <w:t xml:space="preserve">Historicamente a sexualidade foi banida para o espaço privado do quarto marital, sob a insígnia da reprodução. O que escapava a esse modelo era condenado</w:t>
      </w:r>
      <w:r>
        <w:rPr>
          <w:sz w:val="24"/>
          <w:szCs w:val="24"/>
        </w:rPr>
        <w:t xml:space="preserve">,</w:t>
      </w:r>
      <w:r>
        <w:rPr>
          <w:sz w:val="24"/>
          <w:szCs w:val="24"/>
        </w:rPr>
        <w:t xml:space="preserve"> senão ao silêncio, às margens, de mo</w:t>
      </w:r>
      <w:r>
        <w:rPr>
          <w:sz w:val="24"/>
          <w:szCs w:val="24"/>
        </w:rPr>
        <w:t xml:space="preserve">do que “o puritanismo moderno teria imposto seu tríplice decreto de interdição, </w:t>
      </w:r>
      <w:r>
        <w:rPr>
          <w:sz w:val="24"/>
          <w:szCs w:val="24"/>
        </w:rPr>
        <w:t xml:space="preserve">inexistência e mutismo” aos demais ambientes (FOUCAULT, 1988, p. 10). </w:t>
      </w:r>
      <w:r/>
    </w:p>
    <w:p>
      <w:pPr>
        <w:ind w:firstLine="709"/>
        <w:jc w:val="both"/>
        <w:spacing w:lineRule="auto" w:line="360"/>
        <w:rPr>
          <w:sz w:val="24"/>
          <w:szCs w:val="24"/>
          <w:vertAlign w:val="baseline"/>
        </w:rPr>
      </w:pPr>
      <w:r>
        <w:rPr>
          <w:sz w:val="24"/>
          <w:szCs w:val="24"/>
        </w:rPr>
      </w:r>
      <w:r>
        <w:rPr>
          <w:sz w:val="24"/>
          <w:szCs w:val="24"/>
        </w:rPr>
        <w:t xml:space="preserve">Em razão da natureza do crime, salienta-se a baixa tendência à denúncia, em especial quando a vítima assum</w:t>
      </w:r>
      <w:r>
        <w:rPr>
          <w:sz w:val="24"/>
          <w:szCs w:val="24"/>
        </w:rPr>
        <w:t xml:space="preserve">e que sua violação não se enquadra no estupro estereotípico por não deixar marcas visíveis no corpo, em decorrência de combate físico</w:t>
      </w:r>
      <w:r>
        <w:rPr>
          <w:sz w:val="24"/>
          <w:szCs w:val="24"/>
        </w:rPr>
        <w:t xml:space="preserve"> resultante da objeção sólida da vítima ao ato, dado que a falta de consentimento deve ser registrada</w:t>
      </w:r>
      <w:r>
        <w:rPr>
          <w:sz w:val="24"/>
          <w:szCs w:val="24"/>
        </w:rPr>
        <w:t xml:space="preserve"> para que sirva de evidência. </w:t>
      </w:r>
      <w:r>
        <w:rPr>
          <w:sz w:val="24"/>
          <w:szCs w:val="24"/>
        </w:rPr>
        <w:t xml:space="preserve">A</w:t>
      </w:r>
      <w:r>
        <w:rPr>
          <w:sz w:val="24"/>
          <w:szCs w:val="24"/>
        </w:rPr>
        <w:t xml:space="preserve">o pesquisarmos </w:t>
      </w:r>
      <w:r>
        <w:rPr>
          <w:sz w:val="24"/>
          <w:szCs w:val="24"/>
        </w:rPr>
        <w:t xml:space="preserve">violência, deve-se considerar que a</w:t>
      </w:r>
      <w:r>
        <w:rPr>
          <w:sz w:val="24"/>
          <w:szCs w:val="24"/>
        </w:rPr>
        <w:t xml:space="preserve"> concepção desta se altera em diferentes períodos e sociedades, ou seja, sua definição parte do contexto. Sobre isso, </w:t>
      </w:r>
      <w:r>
        <w:rPr>
          <w:sz w:val="24"/>
          <w:szCs w:val="24"/>
        </w:rPr>
        <w:t xml:space="preserve">Arlette</w:t>
      </w:r>
      <w:r>
        <w:rPr>
          <w:sz w:val="24"/>
          <w:szCs w:val="24"/>
        </w:rPr>
        <w:t xml:space="preserve"> </w:t>
      </w:r>
      <w:r>
        <w:rPr>
          <w:sz w:val="24"/>
          <w:szCs w:val="24"/>
        </w:rPr>
        <w:t xml:space="preserve">Farge</w:t>
      </w:r>
      <w:r>
        <w:rPr>
          <w:sz w:val="24"/>
          <w:szCs w:val="24"/>
        </w:rPr>
        <w:t xml:space="preserve"> (2011) demonstra como nosso olhar </w:t>
      </w:r>
      <w:r>
        <w:rPr>
          <w:sz w:val="24"/>
          <w:szCs w:val="24"/>
        </w:rPr>
        <w:t xml:space="preserve">naturaliza</w:t>
      </w:r>
      <w:r>
        <w:rPr>
          <w:sz w:val="24"/>
          <w:szCs w:val="24"/>
        </w:rPr>
        <w:t xml:space="preserve"> a violência ao ponto de não a identificar. De forma ge</w:t>
      </w:r>
      <w:r>
        <w:rPr>
          <w:sz w:val="24"/>
          <w:szCs w:val="24"/>
        </w:rPr>
        <w:t xml:space="preserve">ral, a entendemos como todo ato que fere moral, psicológica ou fisicamente a outrem, e estudar sobre isso é, primeiramente, um processo de identificação</w:t>
      </w:r>
      <w:r>
        <w:rPr>
          <w:rStyle w:val="1103"/>
          <w:sz w:val="24"/>
          <w:szCs w:val="24"/>
          <w:vertAlign w:val="baseline"/>
        </w:rPr>
        <w:t xml:space="preserve">. São múltiplos os tipos de violênci</w:t>
      </w:r>
      <w:r>
        <w:rPr>
          <w:rStyle w:val="1103"/>
          <w:sz w:val="24"/>
          <w:szCs w:val="24"/>
          <w:vertAlign w:val="baseline"/>
        </w:rPr>
        <w:t xml:space="preserve">a, mas nesse leque, há a violência de gênero</w:t>
      </w:r>
      <w:r>
        <w:rPr>
          <w:rStyle w:val="1103"/>
          <w:sz w:val="24"/>
          <w:szCs w:val="24"/>
        </w:rPr>
        <w:footnoteReference w:id="5"/>
      </w:r>
      <w:r>
        <w:rPr>
          <w:rStyle w:val="1103"/>
          <w:sz w:val="24"/>
          <w:szCs w:val="24"/>
          <w:vertAlign w:val="baseline"/>
        </w:rPr>
        <w:t xml:space="preserve">, cuja especificidade age no modo como é legitimada, em suas motivações. O gênero pressupõe relações assimétricas de poder e dessa desigualdade emerge a violência. </w:t>
      </w:r>
      <w:r/>
    </w:p>
    <w:p>
      <w:pPr>
        <w:ind w:firstLine="709"/>
        <w:jc w:val="both"/>
        <w:spacing w:lineRule="auto" w:line="360"/>
        <w:rPr>
          <w:sz w:val="24"/>
          <w:szCs w:val="24"/>
        </w:rPr>
      </w:pPr>
      <w:r>
        <w:rPr>
          <w:sz w:val="24"/>
          <w:szCs w:val="24"/>
        </w:rPr>
      </w:r>
      <w:r>
        <w:rPr>
          <w:sz w:val="24"/>
          <w:szCs w:val="24"/>
        </w:rPr>
        <w:t xml:space="preserve">Para Scott (1995) o gênero pode ser considerado como fenômeno social e como categoria de análise histórica, a saber: no primeiro, estabelece gênero como “um elemento constitutivo de relações sociais baseadas nas diferenças percebidas </w:t>
      </w:r>
      <w:r>
        <w:rPr>
          <w:sz w:val="24"/>
          <w:szCs w:val="24"/>
        </w:rPr>
        <w:t xml:space="preserve">entre os sexos” (SCOTT, 1995, p. 86). Há quatro elementos inter-relacionados inseridos dentro dessa primeira proposta: 1) Os símbolos culturais que evocam representações simbólicas. Em nossa pesquisa histórica devemos estar atentos a estas invocações, perc</w:t>
      </w:r>
      <w:r>
        <w:rPr>
          <w:sz w:val="24"/>
          <w:szCs w:val="24"/>
        </w:rPr>
        <w:t xml:space="preserve">ebendo dentro dos processo-crime se tais representações são acionadas, e se sim, quais, como e quando. </w:t>
      </w:r>
      <w:r>
        <w:rPr>
          <w:sz w:val="24"/>
          <w:szCs w:val="24"/>
        </w:rPr>
        <w:t xml:space="preserve">Durante o processo 86/197</w:t>
      </w:r>
      <w:r>
        <w:rPr>
          <w:rStyle w:val="1103"/>
          <w:sz w:val="24"/>
          <w:szCs w:val="24"/>
          <w:vertAlign w:val="baseline"/>
        </w:rPr>
        <w:t xml:space="preserve">8</w:t>
      </w:r>
      <w:r>
        <w:rPr>
          <w:rStyle w:val="1103"/>
          <w:sz w:val="24"/>
          <w:szCs w:val="24"/>
        </w:rPr>
        <w:footnoteReference w:id="6"/>
      </w:r>
      <w:r>
        <w:rPr>
          <w:sz w:val="24"/>
          <w:szCs w:val="24"/>
        </w:rPr>
        <w:t xml:space="preserve">, usa-se do artifício da denúncia para uma suposta vingança pessoal entre o pai de Marlene</w:t>
      </w:r>
      <w:r>
        <w:rPr>
          <w:rStyle w:val="1103"/>
          <w:sz w:val="24"/>
          <w:szCs w:val="24"/>
        </w:rPr>
        <w:footnoteReference w:id="7"/>
      </w:r>
      <w:r>
        <w:rPr>
          <w:rStyle w:val="1103"/>
          <w:sz w:val="24"/>
          <w:szCs w:val="24"/>
          <w:vertAlign w:val="baseline"/>
        </w:rPr>
        <w:t xml:space="preserve"> (13 anos)</w:t>
      </w:r>
      <w:r>
        <w:rPr>
          <w:sz w:val="24"/>
          <w:szCs w:val="24"/>
        </w:rPr>
        <w:t xml:space="preserve">, e o acusado Josué (55 </w:t>
      </w:r>
      <w:r>
        <w:rPr>
          <w:sz w:val="24"/>
          <w:szCs w:val="24"/>
        </w:rPr>
        <w:t xml:space="preserve">anos), para quem fora entregue a jovem ainda criança afim de receber seus cuidados e educação. Mais tarde, Marlene confirma serem falsas as imputações atribuídas ao réu, contudo, por meio do uso ardiloso do crime de estupro, depara-se com o corpo e honra f</w:t>
      </w:r>
      <w:r>
        <w:rPr>
          <w:sz w:val="24"/>
          <w:szCs w:val="24"/>
        </w:rPr>
        <w:t xml:space="preserve">eminina sendo disposto livremente pelo sujeito que o toma como propriedade para fazê-lo (no caso, seu pai). Historicamente, constituir o estupro </w:t>
      </w:r>
      <w:r>
        <w:rPr>
          <w:sz w:val="24"/>
          <w:szCs w:val="24"/>
        </w:rPr>
        <w:t xml:space="preserve">como crime</w:t>
      </w:r>
      <w:r>
        <w:rPr>
          <w:color w:val="000000"/>
          <w:sz w:val="24"/>
        </w:rPr>
        <w:t xml:space="preserve"> foi um processo de homens assegurando a proteção seus bens, e ali forjavam seu poder. Não se tratava</w:t>
      </w:r>
      <w:r>
        <w:rPr>
          <w:color w:val="000000"/>
          <w:sz w:val="24"/>
        </w:rPr>
        <w:t xml:space="preserve"> de um ato contra a mulher, uma vez que, segundo </w:t>
      </w:r>
      <w:r>
        <w:rPr>
          <w:color w:val="000000"/>
          <w:sz w:val="24"/>
        </w:rPr>
        <w:t xml:space="preserve">Brownmiller</w:t>
      </w:r>
      <w:r>
        <w:rPr>
          <w:color w:val="000000"/>
          <w:sz w:val="24"/>
        </w:rPr>
        <w:t xml:space="preserve"> (1975), o estupro apenas se tornou parte da legislação pois violar o corpo de uma esposa ou filha era violar a propriedade de um homem.</w:t>
      </w:r>
      <w:r>
        <w:rPr>
          <w:sz w:val="24"/>
          <w:szCs w:val="24"/>
        </w:rPr>
        <w:t xml:space="preserve"> Nota-se ainda a argumentação constante sobre os t</w:t>
      </w:r>
      <w:r>
        <w:rPr>
          <w:sz w:val="24"/>
          <w:szCs w:val="24"/>
        </w:rPr>
        <w:t xml:space="preserve">ratos paternais do réu para com a vítima. Evocava-se continuamente o simbolismo paterno que Josué exercia com seus filhos e Marlene, além de sua honestidade e boa conduta a partir do trabalho</w:t>
      </w:r>
      <w:r>
        <w:rPr>
          <w:rStyle w:val="1103"/>
          <w:sz w:val="24"/>
          <w:szCs w:val="24"/>
        </w:rPr>
        <w:footnoteReference w:id="8"/>
      </w:r>
      <w:r>
        <w:rPr>
          <w:sz w:val="24"/>
          <w:szCs w:val="24"/>
        </w:rPr>
        <w:t xml:space="preserve">.  </w:t>
      </w:r>
      <w:r>
        <w:rPr>
          <w:sz w:val="24"/>
          <w:szCs w:val="24"/>
        </w:rPr>
      </w:r>
      <w:r/>
    </w:p>
    <w:p>
      <w:pPr>
        <w:ind w:firstLine="709"/>
        <w:jc w:val="both"/>
        <w:spacing w:lineRule="auto" w:line="360"/>
      </w:pPr>
      <w:r>
        <w:rPr>
          <w:sz w:val="24"/>
          <w:szCs w:val="24"/>
        </w:rPr>
        <w:t xml:space="preserve">Tradu</w:t>
      </w:r>
      <w:r>
        <w:rPr>
          <w:sz w:val="24"/>
          <w:szCs w:val="24"/>
        </w:rPr>
        <w:t xml:space="preserve">zindo as interpretações dos significados dos s</w:t>
      </w:r>
      <w:r>
        <w:rPr>
          <w:sz w:val="24"/>
          <w:szCs w:val="24"/>
        </w:rPr>
        <w:t xml:space="preserve">í</w:t>
      </w:r>
      <w:r>
        <w:rPr>
          <w:sz w:val="24"/>
          <w:szCs w:val="24"/>
        </w:rPr>
        <w:t xml:space="preserve">mbolo</w:t>
      </w:r>
      <w:r>
        <w:rPr>
          <w:sz w:val="24"/>
          <w:szCs w:val="24"/>
        </w:rPr>
        <w:t xml:space="preserve">s</w:t>
      </w:r>
      <w:r>
        <w:rPr>
          <w:sz w:val="24"/>
          <w:szCs w:val="24"/>
        </w:rPr>
        <w:t xml:space="preserve">, há o segundo elemento na propost</w:t>
      </w:r>
      <w:r>
        <w:rPr>
          <w:sz w:val="24"/>
          <w:szCs w:val="24"/>
        </w:rPr>
        <w:t xml:space="preserve">o</w:t>
      </w:r>
      <w:r>
        <w:rPr>
          <w:sz w:val="24"/>
          <w:szCs w:val="24"/>
        </w:rPr>
        <w:t xml:space="preserve"> da autora: 2) </w:t>
      </w:r>
      <w:r>
        <w:rPr>
          <w:sz w:val="24"/>
          <w:szCs w:val="24"/>
        </w:rPr>
        <w:t xml:space="preserve">Os conceitos normativos. Estão estampados nas mais diversas doutrinas presentes no corpo social – como religiosa </w:t>
      </w:r>
      <w:r>
        <w:rPr>
          <w:sz w:val="24"/>
          <w:szCs w:val="24"/>
        </w:rPr>
        <w:t xml:space="preserve">ou</w:t>
      </w:r>
      <w:r>
        <w:rPr>
          <w:sz w:val="24"/>
          <w:szCs w:val="24"/>
        </w:rPr>
        <w:t xml:space="preserve"> jurídica, a exemplo –, comumente f</w:t>
      </w:r>
      <w:r>
        <w:rPr>
          <w:sz w:val="24"/>
          <w:szCs w:val="24"/>
        </w:rPr>
        <w:t xml:space="preserve">ormando uma oposição binária fixa, cuja definição das categorias identitárias essencialistas de masculino e feminino</w:t>
      </w:r>
      <w:r>
        <w:rPr>
          <w:sz w:val="24"/>
          <w:szCs w:val="24"/>
        </w:rPr>
        <w:t xml:space="preserve"> são irrefutáveis. Examinando as narrativas que compõem uma peça criminal, inferimos os acionamentos </w:t>
      </w:r>
      <w:r>
        <w:rPr>
          <w:sz w:val="24"/>
          <w:szCs w:val="24"/>
        </w:rPr>
        <w:t xml:space="preserve">dos conceitos normativos através dos papéis destinados aos homens e às mulheres dentro da sociedade do recorte, como aconteceu no caso de Marlene e Josué, mas que também ocorre nos demais. 3) Uma revisão da organização social. Para além da família</w:t>
      </w:r>
      <w:r>
        <w:rPr>
          <w:sz w:val="24"/>
          <w:szCs w:val="24"/>
        </w:rPr>
        <w:t xml:space="preserve">, outras instituições</w:t>
      </w:r>
      <w:r>
        <w:rPr>
          <w:sz w:val="24"/>
          <w:szCs w:val="24"/>
        </w:rPr>
        <w:t xml:space="preserve"> como a economia ou a política</w:t>
      </w:r>
      <w:r>
        <w:rPr>
          <w:sz w:val="24"/>
          <w:szCs w:val="24"/>
        </w:rPr>
        <w:t xml:space="preserve"> atuam</w:t>
      </w:r>
      <w:r>
        <w:rPr>
          <w:sz w:val="24"/>
          <w:szCs w:val="24"/>
        </w:rPr>
        <w:t xml:space="preserve"> na construção de gênero</w:t>
      </w:r>
      <w:r>
        <w:rPr>
          <w:sz w:val="24"/>
          <w:szCs w:val="24"/>
        </w:rPr>
        <w:t xml:space="preserve">; 4) Construção da identidade subjetiva. Retomando a teoria psicanalítica na qual a transformação da sexualidade biológica é um processo de enculturação</w:t>
      </w:r>
      <w:r>
        <w:rPr>
          <w:rStyle w:val="1103"/>
          <w:sz w:val="24"/>
          <w:szCs w:val="24"/>
        </w:rPr>
        <w:footnoteReference w:id="9"/>
      </w:r>
      <w:r>
        <w:rPr>
          <w:sz w:val="24"/>
          <w:szCs w:val="24"/>
        </w:rPr>
        <w:t xml:space="preserve">, S</w:t>
      </w:r>
      <w:r>
        <w:rPr>
          <w:sz w:val="24"/>
          <w:szCs w:val="24"/>
        </w:rPr>
        <w:t xml:space="preserve">cott (1995) aponta</w:t>
      </w:r>
      <w:r>
        <w:rPr>
          <w:sz w:val="24"/>
          <w:szCs w:val="24"/>
        </w:rPr>
        <w:t xml:space="preserve"> ressalvas, uma vez que o historiador deve pensar de maneira contextual, sem generalizações</w:t>
      </w:r>
      <w:r>
        <w:rPr>
          <w:sz w:val="24"/>
          <w:szCs w:val="24"/>
        </w:rPr>
        <w:t xml:space="preserve">. </w:t>
      </w:r>
      <w:r>
        <w:rPr>
          <w:sz w:val="24"/>
          <w:szCs w:val="24"/>
        </w:rPr>
        <w:t xml:space="preserve">Assumimos então a </w:t>
      </w:r>
      <w:r>
        <w:rPr>
          <w:sz w:val="24"/>
          <w:szCs w:val="24"/>
        </w:rPr>
        <w:t xml:space="preserve">categoria analítica de gênero como o espaço de entendimento científico das articulações sociais produzidas na primeira proposta, dialogamos com uma intersecção entre história e poder, dado que Scott (1995) propõe gênero não  somente como um dos campos pelo</w:t>
      </w:r>
      <w:r>
        <w:rPr>
          <w:sz w:val="24"/>
          <w:szCs w:val="24"/>
        </w:rPr>
        <w:t xml:space="preserve">s quais o poder se articula, mas sim o campo primário pelo qual isso acontece. A vida social se estrutura no gênero, uma vez que ele atua como um conjunto de referências a serem seguidas. Tais referências dispõem de modelos normativos imbuídos desigualment</w:t>
      </w:r>
      <w:r>
        <w:rPr>
          <w:sz w:val="24"/>
          <w:szCs w:val="24"/>
        </w:rPr>
        <w:t xml:space="preserve">e de poder, distribuídos a homens e mulheres, de modo que o gênero se apresenta como responsável tanto pela concepção de poder, quanto pela sua construção.</w:t>
      </w:r>
      <w:r>
        <w:rPr>
          <w:sz w:val="24"/>
          <w:szCs w:val="24"/>
        </w:rPr>
      </w:r>
      <w:r/>
    </w:p>
    <w:p>
      <w:pPr>
        <w:ind w:firstLine="709"/>
        <w:jc w:val="both"/>
        <w:spacing w:lineRule="auto" w:line="360"/>
      </w:pPr>
      <w:r>
        <w:rPr>
          <w:sz w:val="24"/>
          <w:szCs w:val="24"/>
        </w:rPr>
        <w:t xml:space="preserve">Sendo o gênero</w:t>
      </w:r>
      <w:r>
        <w:rPr>
          <w:sz w:val="24"/>
          <w:szCs w:val="24"/>
        </w:rPr>
        <w:t xml:space="preserve"> um dos campos no qual o poder se insinua, pensamos a violência instaurada ne</w:t>
      </w:r>
      <w:r>
        <w:rPr>
          <w:sz w:val="24"/>
          <w:szCs w:val="24"/>
        </w:rPr>
        <w:t xml:space="preserve">sse âmbito, cuja execução e justificativa ocorre por meio das relações de poder desiguais entre homens e mulheres. Partindo da concepção de Scott (1995), desnaturalizamos tais disparidades hierárquicas, tidas por muito tempo como biologicamente </w:t>
      </w:r>
      <w:r>
        <w:rPr>
          <w:sz w:val="24"/>
          <w:szCs w:val="24"/>
        </w:rPr>
        <w:t xml:space="preserve">impostas. D</w:t>
      </w:r>
      <w:r>
        <w:rPr>
          <w:sz w:val="24"/>
          <w:szCs w:val="24"/>
        </w:rPr>
        <w:t xml:space="preserve">o mesmo modo, trabalhamos o argumento da violência como algo não orgânico, com a contribuição de Hannah Arendt (1994), cujo olhar detecta o perigo de tomar esse conceito em termos biológicos, visto que essa naturalidade poderia tornar-se um i</w:t>
      </w:r>
      <w:r>
        <w:rPr>
          <w:sz w:val="24"/>
          <w:szCs w:val="24"/>
        </w:rPr>
        <w:t xml:space="preserve">mperativo da vida social. Em contraponto, a autora infere que o poder não emerge da violência. Dessa interpretação divergimos, uma vez que, sob o respaldo de </w:t>
      </w:r>
      <w:r>
        <w:rPr>
          <w:sz w:val="24"/>
          <w:szCs w:val="24"/>
        </w:rPr>
        <w:t xml:space="preserve">Brownmiller</w:t>
      </w:r>
      <w:r>
        <w:rPr>
          <w:sz w:val="24"/>
          <w:szCs w:val="24"/>
        </w:rPr>
        <w:t xml:space="preserve"> (1975), acreditamos que no estupro está presente o exercício contundente do poder</w:t>
      </w:r>
      <w:r>
        <w:rPr>
          <w:sz w:val="24"/>
          <w:szCs w:val="24"/>
        </w:rPr>
        <w:t xml:space="preserve">. A violência sexual, especificamente o estupro, parte não somente da submissão do sujeito feminino, mas da total anulação de suas vontades. Arendt (1994), se distanciando do pensamento que propõe violência e poder como sinônimos um do outro, considera amb</w:t>
      </w:r>
      <w:r>
        <w:rPr>
          <w:sz w:val="24"/>
          <w:szCs w:val="24"/>
        </w:rPr>
        <w:t xml:space="preserve">os politicamente opostos. Para a autora, o poder não precisa de justificativa, mas sim de legitimidade, já a violência pode ser justificada, mas nunca será legítima. Apesar de adotarmos a diferença entre violência e poder – tomamos a violência como um meio</w:t>
      </w:r>
      <w:r>
        <w:rPr>
          <w:sz w:val="24"/>
          <w:szCs w:val="24"/>
        </w:rPr>
        <w:t xml:space="preserve">, e o poder como um fim –, observamos uma fonte judiciaria, na qual em toda sua produção o que se tem é, justamente, a tentativa de transformar a violência em ato legítimo. O processo criminal se constitui como um teatro, cujo desfecho é incerto e influenc</w:t>
      </w:r>
      <w:r>
        <w:rPr>
          <w:sz w:val="24"/>
          <w:szCs w:val="24"/>
        </w:rPr>
        <w:t xml:space="preserve">iado por ambas as partes, como apontam Corrêa (1983) e Grinberg (2009). Em casos de violência de gênero, isso ocorre através do acionamento contínuo das normatividades impostas à homens e mulheres, posto que tais papéis representam diferentes parcelas de p</w:t>
      </w:r>
      <w:r>
        <w:rPr>
          <w:sz w:val="24"/>
          <w:szCs w:val="24"/>
        </w:rPr>
        <w:t xml:space="preserve">oder dentro das sociedades – se distingue em diferentes temporalidades e locais. </w:t>
      </w:r>
      <w:r>
        <w:rPr>
          <w:sz w:val="24"/>
          <w:szCs w:val="24"/>
        </w:rPr>
      </w:r>
      <w:r/>
    </w:p>
    <w:p>
      <w:pPr>
        <w:ind w:firstLine="709"/>
        <w:jc w:val="both"/>
        <w:spacing w:lineRule="auto" w:line="360"/>
      </w:pPr>
      <w:r>
        <w:rPr>
          <w:sz w:val="24"/>
          <w:szCs w:val="24"/>
        </w:rPr>
        <w:t xml:space="preserve">A peça de número 15/1975</w:t>
      </w:r>
      <w:r>
        <w:rPr>
          <w:rStyle w:val="1103"/>
          <w:sz w:val="24"/>
          <w:szCs w:val="24"/>
        </w:rPr>
        <w:footnoteReference w:id="10"/>
      </w:r>
      <w:r>
        <w:rPr>
          <w:sz w:val="24"/>
          <w:szCs w:val="24"/>
        </w:rPr>
        <w:t xml:space="preserve">, inicia-se com a queixa informando que o réu abordou Irene (15 anos) quando esta deixava o emprego, e com ela manteve relações sexuais</w:t>
      </w:r>
      <w:r>
        <w:rPr>
          <w:sz w:val="24"/>
          <w:szCs w:val="24"/>
        </w:rPr>
        <w:t xml:space="preserve"> sem o seu consentimento. A queixa foi prestada dois dias após o crime</w:t>
      </w:r>
      <w:r>
        <w:rPr>
          <w:sz w:val="24"/>
          <w:szCs w:val="24"/>
        </w:rPr>
        <w:t xml:space="preserve"> e neste dia foi realizado o exame de conjunção carnal</w:t>
      </w:r>
      <w:r>
        <w:rPr>
          <w:rStyle w:val="1103"/>
          <w:sz w:val="24"/>
          <w:szCs w:val="24"/>
        </w:rPr>
        <w:footnoteReference w:id="11"/>
      </w:r>
      <w:r>
        <w:rPr>
          <w:sz w:val="24"/>
          <w:szCs w:val="24"/>
        </w:rPr>
        <w:t xml:space="preserve">. Segundo o primeiro depoimento da vítima, ela e uma amiga foram abordadas por </w:t>
      </w:r>
      <w:r>
        <w:rPr>
          <w:sz w:val="24"/>
          <w:szCs w:val="24"/>
        </w:rPr>
        <w:t xml:space="preserve">Welder</w:t>
      </w:r>
      <w:r>
        <w:rPr>
          <w:sz w:val="24"/>
          <w:szCs w:val="24"/>
        </w:rPr>
        <w:t xml:space="preserve"> (réu, 29 anos) e dois companheiros, e o acus</w:t>
      </w:r>
      <w:r>
        <w:rPr>
          <w:sz w:val="24"/>
          <w:szCs w:val="24"/>
        </w:rPr>
        <w:t xml:space="preserve">ado teria então a segurado em seus braços e a ameaçado</w:t>
      </w:r>
      <w:r>
        <w:rPr>
          <w:sz w:val="24"/>
          <w:szCs w:val="24"/>
        </w:rPr>
        <w:t xml:space="preserve"> com uma faca para obriga-la a manter </w:t>
      </w:r>
      <w:r>
        <w:rPr>
          <w:sz w:val="24"/>
          <w:szCs w:val="24"/>
        </w:rPr>
        <w:t xml:space="preserve">relações sexuais</w:t>
      </w:r>
      <w:r>
        <w:rPr>
          <w:sz w:val="24"/>
          <w:szCs w:val="24"/>
        </w:rPr>
        <w:t xml:space="preserve">. Disse também ter gritado por socorro</w:t>
      </w:r>
      <w:r>
        <w:rPr>
          <w:rStyle w:val="1103"/>
          <w:sz w:val="24"/>
          <w:szCs w:val="24"/>
        </w:rPr>
        <w:footnoteReference w:id="12"/>
      </w:r>
      <w:r>
        <w:rPr>
          <w:sz w:val="24"/>
          <w:szCs w:val="24"/>
        </w:rPr>
        <w:t xml:space="preserve">. Em sua declaração, a violência ocorreu às 22 hor</w:t>
      </w:r>
      <w:r>
        <w:rPr>
          <w:sz w:val="24"/>
          <w:szCs w:val="24"/>
        </w:rPr>
        <w:t xml:space="preserve">as, já durante o interrogatório, o réu e seu irmão afirmam ter ocorrido por volta das 04 horas da madrugada. O defensor assinalou o horário em que a vítima transitava em meio público como inadequado para “moças”, fazendo uso das reg</w:t>
      </w:r>
      <w:r>
        <w:rPr>
          <w:sz w:val="24"/>
          <w:szCs w:val="24"/>
        </w:rPr>
        <w:t xml:space="preserve">ras que acompanham e integram o papel feminino </w:t>
      </w:r>
      <w:r>
        <w:rPr>
          <w:rStyle w:val="1103"/>
          <w:sz w:val="24"/>
          <w:szCs w:val="24"/>
          <w:vertAlign w:val="baseline"/>
        </w:rPr>
        <w:t xml:space="preserve">– </w:t>
      </w:r>
      <w:r>
        <w:rPr>
          <w:sz w:val="24"/>
          <w:szCs w:val="24"/>
        </w:rPr>
        <w:t xml:space="preserve">como mais um indício de que a jovem não preservava</w:t>
      </w:r>
      <w:r>
        <w:rPr>
          <w:sz w:val="24"/>
          <w:szCs w:val="24"/>
        </w:rPr>
        <w:t xml:space="preserve"> inocência</w:t>
      </w:r>
      <w:r>
        <w:rPr>
          <w:sz w:val="24"/>
          <w:szCs w:val="24"/>
        </w:rPr>
        <w:t xml:space="preserve">. </w:t>
      </w:r>
      <w:r>
        <w:rPr>
          <w:sz w:val="24"/>
          <w:szCs w:val="24"/>
        </w:rPr>
        <w:t xml:space="preserve">Corroborando com estratégia na qual é a vítima que se torna ré, como aponta </w:t>
      </w:r>
      <w:r>
        <w:rPr>
          <w:sz w:val="24"/>
          <w:szCs w:val="24"/>
        </w:rPr>
        <w:t xml:space="preserve">Temkin</w:t>
      </w:r>
      <w:r>
        <w:rPr>
          <w:sz w:val="24"/>
          <w:szCs w:val="24"/>
        </w:rPr>
        <w:t xml:space="preserve"> (1992)</w:t>
      </w:r>
      <w:r>
        <w:rPr>
          <w:sz w:val="24"/>
          <w:szCs w:val="24"/>
        </w:rPr>
        <w:t xml:space="preserve">, os dois companheiros de </w:t>
      </w:r>
      <w:r>
        <w:rPr>
          <w:sz w:val="24"/>
          <w:szCs w:val="24"/>
        </w:rPr>
        <w:t xml:space="preserve">Welder</w:t>
      </w:r>
      <w:r>
        <w:rPr>
          <w:sz w:val="24"/>
          <w:szCs w:val="24"/>
        </w:rPr>
        <w:t xml:space="preserve"> declararam que, nesse</w:t>
      </w:r>
      <w:r>
        <w:rPr>
          <w:sz w:val="24"/>
          <w:szCs w:val="24"/>
        </w:rPr>
        <w:t xml:space="preserve"> horário encontraram as jovens acompanhadas de dois rapazes, que partiram com a</w:t>
      </w:r>
      <w:r>
        <w:rPr>
          <w:sz w:val="24"/>
          <w:szCs w:val="24"/>
        </w:rPr>
        <w:t xml:space="preserve"> chegada deles. Já o réu relatava em sua versão que, embriagado</w:t>
      </w:r>
      <w:r>
        <w:rPr>
          <w:rStyle w:val="1103"/>
          <w:sz w:val="24"/>
          <w:szCs w:val="24"/>
        </w:rPr>
        <w:footnoteReference w:id="13"/>
      </w:r>
      <w:r>
        <w:rPr>
          <w:sz w:val="24"/>
          <w:szCs w:val="24"/>
        </w:rPr>
        <w:t xml:space="preserve"> “cantou” a agredida</w:t>
      </w:r>
      <w:r>
        <w:rPr>
          <w:sz w:val="24"/>
          <w:szCs w:val="24"/>
        </w:rPr>
        <w:t xml:space="preserve"> e essa lhe dissera </w:t>
      </w:r>
      <w:r>
        <w:rPr>
          <w:sz w:val="24"/>
          <w:szCs w:val="24"/>
        </w:rPr>
        <w:t xml:space="preserve">não ser mais “moç</w:t>
      </w:r>
      <w:r>
        <w:rPr>
          <w:sz w:val="24"/>
          <w:szCs w:val="24"/>
        </w:rPr>
        <w:t xml:space="preserve">a” desde os 12 anos, e assim consumaram a conjunção em “um mato”. Posteriormente o réu afirmou que:</w:t>
      </w:r>
      <w:r>
        <w:rPr>
          <w:sz w:val="24"/>
          <w:szCs w:val="24"/>
        </w:rPr>
      </w:r>
      <w:r/>
    </w:p>
    <w:p>
      <w:pPr>
        <w:ind w:firstLine="709"/>
        <w:jc w:val="both"/>
        <w:rPr>
          <w:sz w:val="20"/>
        </w:rPr>
      </w:pPr>
      <w:r>
        <w:rPr>
          <w:sz w:val="20"/>
          <w:szCs w:val="24"/>
        </w:rPr>
      </w:r>
      <w:r>
        <w:rPr>
          <w:sz w:val="20"/>
        </w:rPr>
      </w:r>
      <w:r/>
    </w:p>
    <w:p>
      <w:pPr>
        <w:ind w:left="2268"/>
        <w:jc w:val="both"/>
        <w:rPr>
          <w:color w:val="000000"/>
          <w:sz w:val="20"/>
          <w:highlight w:val="none"/>
        </w:rPr>
        <w:pBdr>
          <w:left w:val="none" w:color="000000" w:sz="4" w:space="0"/>
          <w:top w:val="none" w:color="000000" w:sz="4" w:space="0"/>
          <w:right w:val="none" w:color="000000" w:sz="4" w:space="0"/>
          <w:bottom w:val="none" w:color="000000" w:sz="4" w:space="0"/>
        </w:pBdr>
      </w:pPr>
      <w:r>
        <w:rPr>
          <w:color w:val="000000"/>
          <w:sz w:val="20"/>
        </w:rPr>
        <w:t xml:space="preserve">[...] no momento em que ia ter conjunção carnal com a vítima, </w:t>
      </w:r>
      <w:r>
        <w:rPr>
          <w:color w:val="000000"/>
          <w:sz w:val="20"/>
        </w:rPr>
        <w:t xml:space="preserve">esta</w:t>
      </w:r>
      <w:r>
        <w:rPr>
          <w:color w:val="000000"/>
          <w:sz w:val="20"/>
        </w:rPr>
        <w:t xml:space="preserve"> lhe pediu que não lhe usasse a vagina, pois temia ficar grávida, pedindo ao interrogado </w:t>
      </w:r>
      <w:r>
        <w:rPr>
          <w:color w:val="000000"/>
          <w:sz w:val="20"/>
        </w:rPr>
        <w:t xml:space="preserve">que ‘usasse a outra parte’; que o interrogado tentou ‘usar a outra parte’ e, não o conseguindo, acabou usando a vagina da vítima [fls. 37]</w:t>
      </w:r>
      <w:r>
        <w:rPr>
          <w:sz w:val="20"/>
        </w:rPr>
      </w:r>
      <w:r/>
    </w:p>
    <w:p>
      <w:pPr>
        <w:jc w:val="both"/>
      </w:pPr>
      <w:r/>
      <w:r/>
    </w:p>
    <w:p>
      <w:pPr>
        <w:ind w:firstLine="709"/>
        <w:jc w:val="both"/>
        <w:spacing w:lineRule="auto" w:line="360"/>
      </w:pPr>
      <w:r>
        <w:rPr>
          <w:sz w:val="24"/>
          <w:szCs w:val="24"/>
        </w:rPr>
        <w:t xml:space="preserve">Da mesma forma que os conceitos normativos são acionados para afirmar a conduta de Josué (86/1978), aqui a defesa bu</w:t>
      </w:r>
      <w:r>
        <w:rPr>
          <w:sz w:val="24"/>
          <w:szCs w:val="24"/>
        </w:rPr>
        <w:t xml:space="preserve">sca apontar Irene como aquela que se afasta da feminilidade respeitável</w:t>
      </w:r>
      <w:r>
        <w:rPr>
          <w:sz w:val="24"/>
          <w:szCs w:val="24"/>
        </w:rPr>
        <w:t xml:space="preserve"> com seu suposto comportamento. A versão da acusação foi alterada com a nova fala da vítima </w:t>
      </w:r>
      <w:r>
        <w:rPr>
          <w:rStyle w:val="1103"/>
          <w:sz w:val="24"/>
          <w:szCs w:val="24"/>
          <w:vertAlign w:val="baseline"/>
        </w:rPr>
        <w:t xml:space="preserve">– </w:t>
      </w:r>
      <w:r>
        <w:rPr>
          <w:sz w:val="24"/>
          <w:szCs w:val="24"/>
        </w:rPr>
        <w:t xml:space="preserve">diferente da anterior</w:t>
      </w:r>
      <w:r>
        <w:rPr>
          <w:rStyle w:val="1103"/>
          <w:sz w:val="24"/>
          <w:szCs w:val="24"/>
        </w:rPr>
        <w:footnoteReference w:id="14"/>
      </w:r>
      <w:r>
        <w:rPr>
          <w:sz w:val="24"/>
          <w:szCs w:val="24"/>
        </w:rPr>
        <w:t xml:space="preserve"> </w:t>
      </w:r>
      <w:r>
        <w:rPr>
          <w:rStyle w:val="1103"/>
          <w:sz w:val="24"/>
          <w:szCs w:val="24"/>
          <w:vertAlign w:val="baseline"/>
        </w:rPr>
        <w:t xml:space="preserve">– </w:t>
      </w:r>
      <w:r>
        <w:rPr>
          <w:sz w:val="24"/>
          <w:szCs w:val="24"/>
        </w:rPr>
        <w:t xml:space="preserve">gerando</w:t>
      </w:r>
      <w:r>
        <w:rPr>
          <w:sz w:val="24"/>
          <w:szCs w:val="24"/>
        </w:rPr>
        <w:t xml:space="preserve"> desconfiança</w:t>
      </w:r>
      <w:r>
        <w:rPr>
          <w:sz w:val="24"/>
          <w:szCs w:val="24"/>
        </w:rPr>
        <w:t xml:space="preserve"> </w:t>
      </w:r>
      <w:r>
        <w:rPr>
          <w:sz w:val="24"/>
          <w:szCs w:val="24"/>
        </w:rPr>
        <w:t xml:space="preserve">suscetível a descrédit</w:t>
      </w:r>
      <w:r>
        <w:rPr>
          <w:sz w:val="24"/>
          <w:szCs w:val="24"/>
        </w:rPr>
        <w:t xml:space="preserve">o legal. Essa ação traduziu uma tática comum em diversos casos de estupro</w:t>
      </w:r>
      <w:r>
        <w:rPr>
          <w:sz w:val="24"/>
          <w:szCs w:val="24"/>
        </w:rPr>
        <w:t xml:space="preserve"> </w:t>
      </w:r>
      <w:r>
        <w:rPr>
          <w:sz w:val="24"/>
          <w:szCs w:val="24"/>
        </w:rPr>
        <w:t xml:space="preserve">na qual a vítima era questionada continuamente sobre os fatos ocorridos, exigindo que se lembrasse e repetisse todos os detalhes. Encontrada qualquer incongruência, colocava-se em d</w:t>
      </w:r>
      <w:r>
        <w:rPr>
          <w:sz w:val="24"/>
          <w:szCs w:val="24"/>
        </w:rPr>
        <w:t xml:space="preserve">úvida sua veracidade. Não era considerado qualquer aspecto psicológico relacionado ao trauma, ou resultado de lembranças dispersas – visto que muitas vezes o segundo depoimento era prestado até anos depois</w:t>
      </w:r>
      <w:r>
        <w:rPr>
          <w:sz w:val="24"/>
          <w:szCs w:val="24"/>
        </w:rPr>
        <w:t xml:space="preserve"> do ocorrido</w:t>
      </w:r>
      <w:r>
        <w:rPr>
          <w:sz w:val="24"/>
          <w:szCs w:val="24"/>
        </w:rPr>
        <w:t xml:space="preserve">. Segundo </w:t>
      </w:r>
      <w:r>
        <w:rPr>
          <w:sz w:val="24"/>
          <w:szCs w:val="24"/>
        </w:rPr>
        <w:t xml:space="preserve">Temkin</w:t>
      </w:r>
      <w:r>
        <w:rPr>
          <w:sz w:val="24"/>
          <w:szCs w:val="24"/>
        </w:rPr>
        <w:t xml:space="preserve">, “o propósito é o de testar sua hi</w:t>
      </w:r>
      <w:r>
        <w:rPr>
          <w:sz w:val="24"/>
          <w:szCs w:val="24"/>
        </w:rPr>
        <w:t xml:space="preserve">stória em busca de inconsistências e tentar torcer sua interpretação dos eventos de modo a torná-los consistentes com uma hipótese de consentimento” (TEMKIN, 1992, p. 34). </w:t>
      </w:r>
      <w:r>
        <w:rPr>
          <w:sz w:val="24"/>
          <w:szCs w:val="24"/>
        </w:rPr>
        <w:t xml:space="preserve">Foi</w:t>
      </w:r>
      <w:r>
        <w:rPr>
          <w:sz w:val="24"/>
          <w:szCs w:val="24"/>
        </w:rPr>
        <w:t xml:space="preserve"> repetido o argumento de que, apesar de em crimes sexuais a palavra da vítima exerc</w:t>
      </w:r>
      <w:r>
        <w:rPr>
          <w:sz w:val="24"/>
          <w:szCs w:val="24"/>
        </w:rPr>
        <w:t xml:space="preserve">er maior força, a mesma se provou improcedente, tal como ocorre</w:t>
      </w:r>
      <w:r>
        <w:rPr>
          <w:sz w:val="24"/>
          <w:szCs w:val="24"/>
        </w:rPr>
        <w:t xml:space="preserve">u</w:t>
      </w:r>
      <w:r>
        <w:rPr>
          <w:sz w:val="24"/>
          <w:szCs w:val="24"/>
        </w:rPr>
        <w:t xml:space="preserve"> no processo 102/1976</w:t>
      </w:r>
      <w:r>
        <w:rPr>
          <w:rStyle w:val="1103"/>
          <w:sz w:val="24"/>
          <w:szCs w:val="24"/>
        </w:rPr>
        <w:footnoteReference w:id="15"/>
      </w:r>
      <w:r>
        <w:rPr>
          <w:sz w:val="24"/>
          <w:szCs w:val="24"/>
        </w:rPr>
        <w:t xml:space="preserve">, onde Rose (13 anos) te</w:t>
      </w:r>
      <w:r>
        <w:rPr>
          <w:sz w:val="24"/>
          <w:szCs w:val="24"/>
        </w:rPr>
        <w:t xml:space="preserve">ve</w:t>
      </w:r>
      <w:r>
        <w:rPr>
          <w:sz w:val="24"/>
          <w:szCs w:val="24"/>
        </w:rPr>
        <w:t xml:space="preserve"> sua declaração desacreditada – além da dúvida que recai sobre sua virgindade prévia ao crime – pelo promotor, defensor e juiz. Observamos que, no</w:t>
      </w:r>
      <w:r>
        <w:rPr>
          <w:sz w:val="24"/>
          <w:szCs w:val="24"/>
        </w:rPr>
        <w:t xml:space="preserve">vamente, a preocupação maior estava na preservação da honra e não na realização de um ato violento, pois o foco</w:t>
      </w:r>
      <w:r>
        <w:rPr>
          <w:sz w:val="24"/>
          <w:szCs w:val="24"/>
        </w:rPr>
        <w:t xml:space="preserve"> estava na comprovação </w:t>
      </w:r>
      <w:r>
        <w:rPr>
          <w:sz w:val="24"/>
          <w:szCs w:val="24"/>
        </w:rPr>
        <w:t xml:space="preserve">da virgindade anterior. </w:t>
      </w:r>
      <w:r>
        <w:rPr>
          <w:sz w:val="24"/>
          <w:szCs w:val="24"/>
        </w:rPr>
      </w:r>
      <w:r/>
    </w:p>
    <w:p>
      <w:pPr>
        <w:ind w:firstLine="709"/>
        <w:jc w:val="both"/>
        <w:spacing w:lineRule="auto" w:line="360"/>
        <w:rPr>
          <w:sz w:val="24"/>
          <w:szCs w:val="24"/>
          <w:highlight w:val="none"/>
        </w:rPr>
      </w:pPr>
      <w:r>
        <w:rPr>
          <w:sz w:val="24"/>
          <w:szCs w:val="24"/>
        </w:rPr>
        <w:t xml:space="preserve"> Retornando ao caso 15/1975, o crime </w:t>
      </w:r>
      <w:r>
        <w:rPr>
          <w:sz w:val="24"/>
          <w:szCs w:val="24"/>
        </w:rPr>
        <w:t xml:space="preserve">recebeu nova tipificação para corrupção de menor</w:t>
      </w:r>
      <w:r>
        <w:rPr>
          <w:sz w:val="24"/>
          <w:szCs w:val="24"/>
        </w:rPr>
        <w:t xml:space="preserve"> e o réu foi condenado</w:t>
      </w:r>
      <w:r>
        <w:rPr>
          <w:sz w:val="24"/>
          <w:szCs w:val="24"/>
        </w:rPr>
        <w:t xml:space="preserve"> ainda que</w:t>
      </w:r>
      <w:r>
        <w:rPr>
          <w:sz w:val="24"/>
          <w:szCs w:val="24"/>
        </w:rPr>
        <w:t xml:space="preserve">, segundo o juiz,</w:t>
      </w:r>
      <w:r>
        <w:rPr>
          <w:sz w:val="24"/>
          <w:szCs w:val="24"/>
        </w:rPr>
        <w:t xml:space="preserve"> a honestidade de Irene fosse duvidosa</w:t>
      </w:r>
      <w:r>
        <w:rPr>
          <w:sz w:val="24"/>
          <w:szCs w:val="24"/>
        </w:rPr>
        <w:t xml:space="preserve">. </w:t>
      </w:r>
      <w:r>
        <w:rPr>
          <w:sz w:val="24"/>
          <w:szCs w:val="24"/>
        </w:rPr>
        <w:t xml:space="preserve">A</w:t>
      </w:r>
      <w:r>
        <w:rPr>
          <w:sz w:val="24"/>
          <w:szCs w:val="24"/>
        </w:rPr>
        <w:t xml:space="preserve"> defesa apelou sob a justificativa de que corrupção de menor apenas se configurava com conjunção c</w:t>
      </w:r>
      <w:r>
        <w:rPr>
          <w:sz w:val="24"/>
          <w:szCs w:val="24"/>
        </w:rPr>
        <w:t xml:space="preserve">arnal mantida com menor de 18 anos, virgem e honesta, e, portanto, não seria o caso da vítima, “considerando que a vítima não era mais virgem e honesta” [fls. 80]</w:t>
      </w:r>
      <w:r>
        <w:rPr>
          <w:sz w:val="24"/>
          <w:szCs w:val="24"/>
        </w:rPr>
        <w:t xml:space="preserve">:</w:t>
      </w:r>
      <w:r>
        <w:rPr>
          <w:sz w:val="24"/>
          <w:szCs w:val="24"/>
          <w:highlight w:val="none"/>
        </w:rPr>
      </w:r>
      <w:r/>
    </w:p>
    <w:p>
      <w:pPr>
        <w:ind w:firstLine="709"/>
        <w:jc w:val="both"/>
        <w:spacing w:lineRule="auto" w:line="240"/>
        <w:rPr>
          <w:sz w:val="20"/>
          <w:szCs w:val="24"/>
          <w:highlight w:val="none"/>
        </w:rPr>
      </w:pPr>
      <w:r>
        <w:rPr>
          <w:sz w:val="20"/>
          <w:szCs w:val="24"/>
          <w:highlight w:val="none"/>
        </w:rPr>
      </w:r>
      <w:r>
        <w:rPr>
          <w:sz w:val="20"/>
          <w:szCs w:val="24"/>
          <w:highlight w:val="none"/>
        </w:rPr>
      </w:r>
      <w:r/>
    </w:p>
    <w:p>
      <w:pPr>
        <w:ind w:left="2268"/>
        <w:jc w:val="both"/>
        <w:spacing w:lineRule="auto" w:line="240"/>
        <w:rPr>
          <w:sz w:val="20"/>
        </w:rPr>
        <w:pBdr>
          <w:left w:val="none" w:color="000000" w:sz="4" w:space="0"/>
          <w:top w:val="none" w:color="000000" w:sz="4" w:space="0"/>
          <w:right w:val="none" w:color="000000" w:sz="4" w:space="0"/>
          <w:bottom w:val="none" w:color="000000" w:sz="4" w:space="0"/>
        </w:pBdr>
      </w:pPr>
      <w:r>
        <w:rPr>
          <w:color w:val="000000"/>
          <w:sz w:val="20"/>
        </w:rPr>
        <w:t xml:space="preserve">[…] Que se poderá esperar de uma jovem de </w:t>
      </w:r>
      <w:r>
        <w:rPr>
          <w:color w:val="000000"/>
          <w:sz w:val="20"/>
        </w:rPr>
        <w:t xml:space="preserve">quinze anos, após ser submetida ao congresso sexual da forma como está relada nos autos?</w:t>
      </w:r>
      <w:r>
        <w:rPr>
          <w:color w:val="000000"/>
          <w:sz w:val="20"/>
        </w:rPr>
        <w:t xml:space="preserve"> </w:t>
      </w:r>
      <w:r>
        <w:rPr>
          <w:b/>
          <w:color w:val="000000"/>
          <w:sz w:val="20"/>
        </w:rPr>
        <w:t xml:space="preserve">Já se tem decidido que só fica à margem da proteção penal a jovem inteiramente corrompida.</w:t>
      </w:r>
      <w:r>
        <w:rPr>
          <w:color w:val="000000"/>
          <w:sz w:val="20"/>
        </w:rPr>
        <w:t xml:space="preserve"> Isso, como ficou comprovado no processo, nem de longe ocorreu com a ofendida</w:t>
      </w:r>
      <w:r>
        <w:rPr>
          <w:color w:val="000000"/>
          <w:sz w:val="20"/>
        </w:rPr>
        <w:t xml:space="preserve">, [...]. É indubitável, enfim, que a prática sexual descrita na inicial acusatória acarretou mal maior à vítima, abatendo o seu pudor, abrindo as portas para uma total degradação</w:t>
      </w:r>
      <w:r>
        <w:rPr>
          <w:color w:val="000000"/>
          <w:sz w:val="20"/>
        </w:rPr>
        <w:t xml:space="preserve">, o que, evidentemente, configura o delito de corrupção de menor.</w:t>
      </w:r>
      <w:r>
        <w:rPr>
          <w:sz w:val="20"/>
        </w:rPr>
      </w:r>
      <w:r/>
    </w:p>
    <w:p>
      <w:pPr>
        <w:ind w:firstLine="709"/>
        <w:jc w:val="both"/>
        <w:spacing w:lineRule="auto" w:line="240"/>
        <w:rPr>
          <w:sz w:val="20"/>
        </w:rPr>
      </w:pPr>
      <w:r>
        <w:rPr>
          <w:sz w:val="20"/>
        </w:rPr>
      </w:r>
      <w:r>
        <w:rPr>
          <w:sz w:val="20"/>
        </w:rPr>
      </w:r>
      <w:r/>
    </w:p>
    <w:p>
      <w:pPr>
        <w:ind w:firstLine="709"/>
        <w:jc w:val="both"/>
        <w:spacing w:lineRule="auto" w:line="360"/>
      </w:pPr>
      <w:r>
        <w:rPr>
          <w:sz w:val="24"/>
          <w:szCs w:val="24"/>
        </w:rPr>
        <w:t xml:space="preserve">Essa fala expõe não serem todas as mulheres aptas a receberem a proteção legal. Apesar de não haver provas contra seu consentimento, Irene </w:t>
      </w:r>
      <w:r>
        <w:rPr>
          <w:sz w:val="24"/>
          <w:szCs w:val="24"/>
        </w:rPr>
        <w:t xml:space="preserve">não seria completamente corr</w:t>
      </w:r>
      <w:r>
        <w:rPr>
          <w:sz w:val="24"/>
          <w:szCs w:val="24"/>
        </w:rPr>
        <w:t xml:space="preserve">ompida, já que testemunhas alegaram sua boa conduta, a qual estaria de acordo com o modelo normativo que reg</w:t>
      </w:r>
      <w:r>
        <w:rPr>
          <w:sz w:val="24"/>
          <w:szCs w:val="24"/>
        </w:rPr>
        <w:t xml:space="preserve">ia</w:t>
      </w:r>
      <w:r>
        <w:rPr>
          <w:sz w:val="24"/>
          <w:szCs w:val="24"/>
        </w:rPr>
        <w:t xml:space="preserve"> a vida social naquele</w:t>
      </w:r>
      <w:r>
        <w:rPr>
          <w:sz w:val="24"/>
          <w:szCs w:val="24"/>
        </w:rPr>
        <w:t xml:space="preserve"> contexto</w:t>
      </w:r>
      <w:r>
        <w:rPr>
          <w:sz w:val="24"/>
          <w:szCs w:val="24"/>
        </w:rPr>
        <w:t xml:space="preserve">. Seria ela</w:t>
      </w:r>
      <w:r>
        <w:rPr>
          <w:sz w:val="24"/>
          <w:szCs w:val="24"/>
        </w:rPr>
        <w:t xml:space="preserve"> uma vítima </w:t>
      </w:r>
      <w:r>
        <w:rPr>
          <w:sz w:val="24"/>
          <w:szCs w:val="24"/>
        </w:rPr>
        <w:t xml:space="preserve">cuja</w:t>
      </w:r>
      <w:r>
        <w:rPr>
          <w:sz w:val="24"/>
          <w:szCs w:val="24"/>
        </w:rPr>
        <w:t xml:space="preserve"> honra</w:t>
      </w:r>
      <w:r>
        <w:rPr>
          <w:sz w:val="24"/>
          <w:szCs w:val="24"/>
        </w:rPr>
        <w:t xml:space="preserve"> fora</w:t>
      </w:r>
      <w:r>
        <w:rPr>
          <w:sz w:val="24"/>
          <w:szCs w:val="24"/>
        </w:rPr>
        <w:t xml:space="preserve"> usurpada</w:t>
      </w:r>
      <w:r>
        <w:rPr>
          <w:sz w:val="24"/>
          <w:szCs w:val="24"/>
        </w:rPr>
        <w:t xml:space="preserve"> e</w:t>
      </w:r>
      <w:r>
        <w:rPr>
          <w:sz w:val="24"/>
          <w:szCs w:val="24"/>
        </w:rPr>
        <w:t xml:space="preserve"> o mal que lhe foi imposto não pôde ser rev</w:t>
      </w:r>
      <w:r>
        <w:rPr>
          <w:sz w:val="24"/>
          <w:szCs w:val="24"/>
        </w:rPr>
        <w:t xml:space="preserve">ertido, então resta punir o réu</w:t>
      </w:r>
      <w:r>
        <w:rPr>
          <w:sz w:val="24"/>
          <w:szCs w:val="24"/>
        </w:rPr>
        <w:t xml:space="preserve">. </w:t>
      </w:r>
      <w:r>
        <w:rPr>
          <w:rStyle w:val="1103"/>
          <w:sz w:val="24"/>
          <w:szCs w:val="24"/>
          <w:vertAlign w:val="baseline"/>
        </w:rPr>
        <w:t xml:space="preserve">Existem várias modalidades de crimes sexuais, porém escolhemos abordar o estupro, uma vez que nesse ato há o que </w:t>
      </w:r>
      <w:r>
        <w:rPr>
          <w:rStyle w:val="1103"/>
          <w:sz w:val="24"/>
          <w:szCs w:val="24"/>
          <w:vertAlign w:val="baseline"/>
        </w:rPr>
        <w:t xml:space="preserve">March</w:t>
      </w:r>
      <w:r>
        <w:rPr>
          <w:rStyle w:val="1103"/>
          <w:sz w:val="24"/>
          <w:szCs w:val="24"/>
          <w:vertAlign w:val="baseline"/>
        </w:rPr>
        <w:t xml:space="preserve"> (2017) chama de </w:t>
      </w:r>
      <w:r>
        <w:rPr>
          <w:rStyle w:val="1103"/>
          <w:sz w:val="24"/>
          <w:szCs w:val="24"/>
          <w:vertAlign w:val="baseline"/>
        </w:rPr>
        <w:t xml:space="preserve">reoganização</w:t>
      </w:r>
      <w:r>
        <w:rPr>
          <w:rStyle w:val="1103"/>
          <w:sz w:val="24"/>
          <w:szCs w:val="24"/>
          <w:vertAlign w:val="baseline"/>
        </w:rPr>
        <w:t xml:space="preserve"> do sexo como uma arma. Ou seja, o estupro não é a </w:t>
      </w:r>
      <w:r>
        <w:rPr>
          <w:rStyle w:val="1103"/>
          <w:sz w:val="24"/>
          <w:szCs w:val="24"/>
          <w:vertAlign w:val="baseline"/>
        </w:rPr>
        <w:t xml:space="preserve">saciaçã</w:t>
      </w:r>
      <w:r>
        <w:rPr>
          <w:rStyle w:val="1103"/>
          <w:sz w:val="24"/>
          <w:szCs w:val="24"/>
          <w:vertAlign w:val="baseline"/>
        </w:rPr>
        <w:t xml:space="preserve">o</w:t>
      </w:r>
      <w:r>
        <w:rPr>
          <w:rStyle w:val="1103"/>
          <w:sz w:val="24"/>
          <w:szCs w:val="24"/>
          <w:vertAlign w:val="baseline"/>
        </w:rPr>
        <w:t xml:space="preserve"> de desejos sexuais impetuosos, ou ato procedido por monstros, homens feras, anormais. Mas sim, é transformar o exercício sexual em um instrumento de humilhação e violência, pelo qual se busca demonstrar e concretizar seu poder. Para </w:t>
      </w:r>
      <w:r>
        <w:rPr>
          <w:rStyle w:val="1103"/>
          <w:sz w:val="24"/>
          <w:szCs w:val="24"/>
          <w:vertAlign w:val="baseline"/>
        </w:rPr>
        <w:t xml:space="preserve">Brownmiller</w:t>
      </w:r>
      <w:r>
        <w:rPr>
          <w:rStyle w:val="1103"/>
          <w:sz w:val="24"/>
          <w:szCs w:val="24"/>
          <w:vertAlign w:val="baseline"/>
        </w:rPr>
        <w:t xml:space="preserve"> (1975)</w:t>
      </w:r>
      <w:r>
        <w:rPr>
          <w:rStyle w:val="1103"/>
          <w:sz w:val="24"/>
          <w:szCs w:val="24"/>
          <w:vertAlign w:val="baseline"/>
        </w:rPr>
        <w:t xml:space="preserve">, alguns estupradores teriam uma vantagem para além da física. Estariam em um ambiente que os favorece em detrimento das </w:t>
      </w:r>
      <w:r>
        <w:rPr>
          <w:sz w:val="24"/>
          <w:szCs w:val="24"/>
        </w:rPr>
        <w:t xml:space="preserve">agredid</w:t>
      </w:r>
      <w:r>
        <w:rPr>
          <w:rStyle w:val="1103"/>
          <w:sz w:val="24"/>
          <w:szCs w:val="24"/>
          <w:vertAlign w:val="baseline"/>
        </w:rPr>
        <w:t xml:space="preserve">as, operando também no ambiente emocional, ou inseridos em uma relação hierárquica. </w:t>
      </w:r>
      <w:r>
        <w:rPr>
          <w:sz w:val="24"/>
          <w:szCs w:val="24"/>
        </w:rPr>
        <w:t xml:space="preserve">Assim como violência, estupro não possui uma</w:t>
      </w:r>
      <w:r>
        <w:rPr>
          <w:sz w:val="24"/>
          <w:szCs w:val="24"/>
        </w:rPr>
        <w:t xml:space="preserve"> definição única, sendo alterado de acordo com o contexto. Primeiramente partimos da definição legal que definia estupro na década de 1970 como a penetração pênis-vagina com o não consentimento concretizado por provas. Tomar como única a definição legal de</w:t>
      </w:r>
      <w:r>
        <w:rPr>
          <w:sz w:val="24"/>
          <w:szCs w:val="24"/>
        </w:rPr>
        <w:t xml:space="preserve"> estupro é limitante, a temos como ponto de partida para análise – visto que nossas fontes são do campo jurídico e a legislação faz parte –, porém entendemos o estupro como uma ameaça </w:t>
      </w:r>
      <w:r>
        <w:rPr>
          <w:sz w:val="24"/>
          <w:szCs w:val="24"/>
        </w:rPr>
        <w:t xml:space="preserve">a</w:t>
      </w:r>
      <w:r>
        <w:rPr>
          <w:sz w:val="24"/>
          <w:szCs w:val="24"/>
        </w:rPr>
        <w:t xml:space="preserve"> liberdade – sexual, ou de existir. Não se resume ao crime contr</w:t>
      </w:r>
      <w:r>
        <w:rPr>
          <w:sz w:val="24"/>
          <w:szCs w:val="24"/>
        </w:rPr>
        <w:t xml:space="preserve">a o indivíduo, suas implicações atingem amplamente o espaço social, uma vez que impõe medo às mulheres. </w:t>
      </w:r>
      <w:r>
        <w:rPr>
          <w:sz w:val="24"/>
          <w:szCs w:val="24"/>
        </w:rPr>
      </w:r>
      <w:r/>
    </w:p>
    <w:p>
      <w:pPr>
        <w:ind w:firstLine="709"/>
        <w:jc w:val="both"/>
        <w:spacing w:lineRule="auto" w:line="360"/>
      </w:pPr>
      <w:r>
        <w:rPr>
          <w:sz w:val="24"/>
          <w:szCs w:val="24"/>
        </w:rPr>
        <w:t xml:space="preserve">Para </w:t>
      </w:r>
      <w:r>
        <w:rPr>
          <w:sz w:val="24"/>
          <w:szCs w:val="24"/>
        </w:rPr>
        <w:t xml:space="preserve">Brownmiller</w:t>
      </w:r>
      <w:r>
        <w:rPr>
          <w:sz w:val="24"/>
          <w:szCs w:val="24"/>
        </w:rPr>
        <w:t xml:space="preserve"> (1975), esse medo esteve presente em diferentes temporalidades, universalmente. Indo de encontro com essa afirmação, Porter (1992), ap</w:t>
      </w:r>
      <w:r>
        <w:rPr>
          <w:sz w:val="24"/>
          <w:szCs w:val="24"/>
        </w:rPr>
        <w:t xml:space="preserve">esar de concordar que o estupro é político, o faz com a ressalva de que isso não se traduz igualmente em todos os tempos. O estupro como uma arma de dominação masculina emerge simultaneamente à liberdade feminina, ou seja, em sociedades e períodos em que a</w:t>
      </w:r>
      <w:r>
        <w:rPr>
          <w:sz w:val="24"/>
          <w:szCs w:val="24"/>
        </w:rPr>
        <w:t xml:space="preserve"> dominação é amplamente disseminada, não há a necessidade de reafirmar a partir da ameaça de estupro. Como historiadores, tendemos a não nos basearmos em noções universalizantes, de forma que adotamos parte do pensamento de </w:t>
      </w:r>
      <w:r>
        <w:rPr>
          <w:sz w:val="24"/>
          <w:szCs w:val="24"/>
        </w:rPr>
        <w:t xml:space="preserve">Brownmiller</w:t>
      </w:r>
      <w:r>
        <w:rPr>
          <w:sz w:val="24"/>
          <w:szCs w:val="24"/>
        </w:rPr>
        <w:t xml:space="preserve"> (1975), mas com as r</w:t>
      </w:r>
      <w:r>
        <w:rPr>
          <w:sz w:val="24"/>
          <w:szCs w:val="24"/>
        </w:rPr>
        <w:t xml:space="preserve">essalvas de Porter. Como </w:t>
      </w:r>
      <w:r>
        <w:rPr>
          <w:sz w:val="24"/>
          <w:szCs w:val="24"/>
        </w:rPr>
        <w:t xml:space="preserve">ato físico, o estupro é a superfície visível de articulações profundas, que buscam e/ou demonstram poder. A violação como ato corretivo elucida mais facilmente esse aspecto – muito embora o exercício de poder esteja presente em tod</w:t>
      </w:r>
      <w:r>
        <w:rPr>
          <w:sz w:val="24"/>
          <w:szCs w:val="24"/>
        </w:rPr>
        <w:t xml:space="preserve">o estupro. Para Harrison (1992), a violação pode ser encarada como meio punitivo masculino dirigido às mulheres, cuja ameaça e execução age como reguladora de padrões gerais de comportamento social</w:t>
      </w:r>
      <w:r>
        <w:rPr>
          <w:sz w:val="24"/>
          <w:szCs w:val="24"/>
        </w:rPr>
        <w:t xml:space="preserve">.</w:t>
      </w:r>
      <w:r>
        <w:rPr>
          <w:sz w:val="24"/>
          <w:szCs w:val="24"/>
        </w:rPr>
      </w:r>
      <w:r/>
    </w:p>
    <w:p>
      <w:pPr>
        <w:ind w:firstLine="709"/>
        <w:jc w:val="both"/>
        <w:spacing w:lineRule="auto" w:line="360"/>
      </w:pPr>
      <w:r>
        <w:rPr>
          <w:rStyle w:val="1103"/>
          <w:sz w:val="24"/>
          <w:szCs w:val="24"/>
          <w:vertAlign w:val="baseline"/>
        </w:rPr>
        <w:t xml:space="preserve">O processo 74/1975</w:t>
      </w:r>
      <w:r>
        <w:rPr>
          <w:rStyle w:val="1103"/>
          <w:sz w:val="24"/>
          <w:szCs w:val="24"/>
        </w:rPr>
        <w:footnoteReference w:id="16"/>
      </w:r>
      <w:r>
        <w:rPr>
          <w:rStyle w:val="1103"/>
          <w:sz w:val="24"/>
          <w:szCs w:val="24"/>
          <w:vertAlign w:val="baseline"/>
        </w:rPr>
        <w:t xml:space="preserve">, retrata o delito de estupro em su</w:t>
      </w:r>
      <w:r>
        <w:rPr>
          <w:rStyle w:val="1103"/>
          <w:sz w:val="24"/>
          <w:szCs w:val="24"/>
          <w:vertAlign w:val="baseline"/>
        </w:rPr>
        <w:t xml:space="preserve">a forma presumida</w:t>
      </w:r>
      <w:r>
        <w:rPr>
          <w:sz w:val="24"/>
          <w:szCs w:val="24"/>
        </w:rPr>
        <w:t xml:space="preserve">. </w:t>
      </w:r>
      <w:r>
        <w:rPr>
          <w:rStyle w:val="1103"/>
          <w:sz w:val="24"/>
          <w:szCs w:val="24"/>
          <w:vertAlign w:val="baseline"/>
        </w:rPr>
        <w:t xml:space="preserve">Ágata (13 anos) teria sido desvirginada por Lucas (20 anos), e,</w:t>
      </w:r>
      <w:r>
        <w:rPr>
          <w:sz w:val="24"/>
          <w:szCs w:val="24"/>
        </w:rPr>
        <w:t xml:space="preserve"> </w:t>
      </w:r>
      <w:r>
        <w:rPr>
          <w:rStyle w:val="1103"/>
          <w:sz w:val="24"/>
          <w:szCs w:val="24"/>
          <w:vertAlign w:val="baseline"/>
        </w:rPr>
        <w:t xml:space="preserve">sob a condição de que futuramente se casariam, mantiveram contínuas relações sexuais, resultando em gravidez. Lucas a teria coagid</w:t>
      </w:r>
      <w:r>
        <w:rPr>
          <w:sz w:val="24"/>
          <w:szCs w:val="24"/>
        </w:rPr>
        <w:t xml:space="preserve">o</w:t>
      </w:r>
      <w:r>
        <w:rPr>
          <w:rStyle w:val="1103"/>
          <w:sz w:val="24"/>
          <w:szCs w:val="24"/>
          <w:vertAlign w:val="baseline"/>
        </w:rPr>
        <w:t xml:space="preserve"> a abortar, exercendo sua dominaç</w:t>
      </w:r>
      <w:r>
        <w:rPr>
          <w:rStyle w:val="1103"/>
          <w:sz w:val="24"/>
          <w:szCs w:val="24"/>
          <w:vertAlign w:val="baseline"/>
        </w:rPr>
        <w:t xml:space="preserve">ão</w:t>
      </w:r>
      <w:r>
        <w:rPr>
          <w:rStyle w:val="1103"/>
          <w:sz w:val="24"/>
          <w:szCs w:val="24"/>
          <w:vertAlign w:val="baseline"/>
        </w:rPr>
        <w:t xml:space="preserve">. Para que a fraude </w:t>
      </w:r>
      <w:r>
        <w:rPr>
          <w:sz w:val="24"/>
          <w:szCs w:val="24"/>
        </w:rPr>
        <w:t xml:space="preserve">fosse</w:t>
      </w:r>
      <w:r>
        <w:rPr>
          <w:rStyle w:val="1103"/>
          <w:sz w:val="24"/>
          <w:szCs w:val="24"/>
          <w:vertAlign w:val="baseline"/>
        </w:rPr>
        <w:t xml:space="preserve"> confirmada, </w:t>
      </w:r>
      <w:r>
        <w:rPr>
          <w:sz w:val="24"/>
          <w:szCs w:val="24"/>
        </w:rPr>
        <w:t xml:space="preserve">era</w:t>
      </w:r>
      <w:r>
        <w:rPr>
          <w:rStyle w:val="1103"/>
          <w:sz w:val="24"/>
          <w:szCs w:val="24"/>
          <w:vertAlign w:val="baseline"/>
        </w:rPr>
        <w:t xml:space="preserve"> necessário que o namoro entre a vítima e o réu </w:t>
      </w:r>
      <w:r>
        <w:rPr>
          <w:sz w:val="24"/>
          <w:szCs w:val="24"/>
        </w:rPr>
        <w:t xml:space="preserve">fosse</w:t>
      </w:r>
      <w:r>
        <w:rPr>
          <w:rStyle w:val="1103"/>
          <w:sz w:val="24"/>
          <w:szCs w:val="24"/>
          <w:vertAlign w:val="baseline"/>
        </w:rPr>
        <w:t xml:space="preserve"> atestado por testemunhas, demonstrando compromisso firme – que justificaria o consentimento da vítima, quando iludida com a esperança do casório. Por</w:t>
      </w:r>
      <w:r>
        <w:rPr>
          <w:rStyle w:val="1103"/>
          <w:sz w:val="24"/>
          <w:szCs w:val="24"/>
          <w:vertAlign w:val="baseline"/>
        </w:rPr>
        <w:t xml:space="preserve">ém, trata-se de um caso de violência presumida – uma vez que a vítima fosse mais velha</w:t>
      </w:r>
      <w:r>
        <w:rPr>
          <w:sz w:val="24"/>
          <w:szCs w:val="24"/>
        </w:rPr>
        <w:t xml:space="preserve"> (até 18 anos)</w:t>
      </w:r>
      <w:r>
        <w:rPr>
          <w:rStyle w:val="1103"/>
          <w:sz w:val="24"/>
          <w:szCs w:val="24"/>
          <w:vertAlign w:val="baseline"/>
        </w:rPr>
        <w:t xml:space="preserve">, o crime se voltaria para o art. 217, sedução –, cenário no qual o consentimento, na teoria, não seria validado em razão a sua pouca idade. Elisa (13 anos)</w:t>
      </w:r>
      <w:r>
        <w:rPr>
          <w:rStyle w:val="1103"/>
          <w:sz w:val="24"/>
          <w:szCs w:val="24"/>
          <w:vertAlign w:val="baseline"/>
        </w:rPr>
        <w:t xml:space="preserve"> e Antônio (21 anos) protagonizam um caso semelhante (processo 101/1976</w:t>
      </w:r>
      <w:r>
        <w:rPr>
          <w:rStyle w:val="1103"/>
          <w:sz w:val="24"/>
          <w:szCs w:val="24"/>
        </w:rPr>
        <w:footnoteReference w:id="17"/>
      </w:r>
      <w:r>
        <w:rPr>
          <w:rStyle w:val="1103"/>
          <w:sz w:val="24"/>
          <w:szCs w:val="24"/>
          <w:vertAlign w:val="baseline"/>
        </w:rPr>
        <w:t xml:space="preserve">), no qual a vítima afirm</w:t>
      </w:r>
      <w:r>
        <w:rPr>
          <w:sz w:val="24"/>
          <w:szCs w:val="24"/>
        </w:rPr>
        <w:t xml:space="preserve">ou</w:t>
      </w:r>
      <w:r>
        <w:rPr>
          <w:rStyle w:val="1103"/>
          <w:sz w:val="24"/>
          <w:szCs w:val="24"/>
          <w:vertAlign w:val="baseline"/>
        </w:rPr>
        <w:t xml:space="preserve"> manter namoro com o réu, enquanto o </w:t>
      </w:r>
      <w:r>
        <w:rPr>
          <w:sz w:val="24"/>
          <w:szCs w:val="24"/>
        </w:rPr>
        <w:t xml:space="preserve">ú</w:t>
      </w:r>
      <w:r>
        <w:rPr>
          <w:rStyle w:val="1103"/>
          <w:sz w:val="24"/>
          <w:szCs w:val="24"/>
          <w:vertAlign w:val="baseline"/>
        </w:rPr>
        <w:t xml:space="preserve">ltimo aleg</w:t>
      </w:r>
      <w:r>
        <w:rPr>
          <w:sz w:val="24"/>
          <w:szCs w:val="24"/>
        </w:rPr>
        <w:t xml:space="preserve">ou</w:t>
      </w:r>
      <w:r>
        <w:rPr>
          <w:rStyle w:val="1103"/>
          <w:sz w:val="24"/>
          <w:szCs w:val="24"/>
          <w:vertAlign w:val="baseline"/>
        </w:rPr>
        <w:t xml:space="preserve"> nutrirem apenas uma amizade, e posteriormente infer</w:t>
      </w:r>
      <w:r>
        <w:rPr>
          <w:sz w:val="24"/>
          <w:szCs w:val="24"/>
        </w:rPr>
        <w:t xml:space="preserve">iu</w:t>
      </w:r>
      <w:r>
        <w:rPr>
          <w:rStyle w:val="1103"/>
          <w:sz w:val="24"/>
          <w:szCs w:val="24"/>
          <w:vertAlign w:val="baseline"/>
        </w:rPr>
        <w:t xml:space="preserve"> a conhecer “apenas de vista”. Assim como na peça ant</w:t>
      </w:r>
      <w:r>
        <w:rPr>
          <w:rStyle w:val="1103"/>
          <w:sz w:val="24"/>
          <w:szCs w:val="24"/>
          <w:vertAlign w:val="baseline"/>
        </w:rPr>
        <w:t xml:space="preserve">erior, a violência se presume, mas a fraude se faz, novamente, sob o voto de união legal. Em 1977, as circunstâncias se repetem para Tainá (13 anos) e Lauro (21 anos), no processo 103/1978</w:t>
      </w:r>
      <w:r>
        <w:rPr>
          <w:rStyle w:val="1103"/>
          <w:sz w:val="24"/>
          <w:szCs w:val="24"/>
        </w:rPr>
        <w:footnoteReference w:id="18"/>
      </w:r>
      <w:r>
        <w:rPr>
          <w:rStyle w:val="1103"/>
          <w:sz w:val="24"/>
          <w:szCs w:val="24"/>
          <w:vertAlign w:val="baseline"/>
        </w:rPr>
        <w:t xml:space="preserve">.</w:t>
      </w:r>
      <w:r>
        <w:rPr>
          <w:sz w:val="24"/>
          <w:szCs w:val="24"/>
        </w:rPr>
      </w:r>
      <w:r/>
    </w:p>
    <w:p>
      <w:pPr>
        <w:ind w:firstLine="709"/>
        <w:jc w:val="both"/>
        <w:spacing w:lineRule="auto" w:line="360"/>
      </w:pPr>
      <w:r>
        <w:rPr>
          <w:rStyle w:val="1103"/>
          <w:sz w:val="24"/>
          <w:szCs w:val="24"/>
          <w:vertAlign w:val="baseline"/>
        </w:rPr>
        <w:t xml:space="preserve"> As três peças se assemelham em alguns aspectos, como a promessa </w:t>
      </w:r>
      <w:r>
        <w:rPr>
          <w:rStyle w:val="1103"/>
          <w:sz w:val="24"/>
          <w:szCs w:val="24"/>
          <w:vertAlign w:val="baseline"/>
        </w:rPr>
        <w:t xml:space="preserve">de casamento, as idades dos envolvidos, o conhecimento – e namoro – prévio entre réu e vítima, e a confissão dos acusados. Esses homens não negam a relação sexual com as vítimas, contudo, suas argumentações se constroem sobre a base cuja intenção é, no pri</w:t>
      </w:r>
      <w:r>
        <w:rPr>
          <w:rStyle w:val="1103"/>
          <w:sz w:val="24"/>
          <w:szCs w:val="24"/>
          <w:vertAlign w:val="baseline"/>
        </w:rPr>
        <w:t xml:space="preserve">meiro momento, enfatizar que as supostas vítima já eram desvirginadas. Nesse cenário, parte do crime estaria refutada, uma vez que se estrutura sobre a inocência da mulher, </w:t>
      </w:r>
      <w:r>
        <w:rPr>
          <w:rStyle w:val="1103"/>
          <w:sz w:val="24"/>
          <w:szCs w:val="24"/>
          <w:vertAlign w:val="baseline"/>
        </w:rPr>
        <w:t xml:space="preserve">dai</w:t>
      </w:r>
      <w:r>
        <w:rPr>
          <w:rStyle w:val="1103"/>
          <w:sz w:val="24"/>
          <w:szCs w:val="24"/>
          <w:vertAlign w:val="baseline"/>
        </w:rPr>
        <w:t xml:space="preserve"> a importância não somente de alegar desvirginamento prévio – uma vez que para i</w:t>
      </w:r>
      <w:r>
        <w:rPr>
          <w:rStyle w:val="1103"/>
          <w:sz w:val="24"/>
          <w:szCs w:val="24"/>
          <w:vertAlign w:val="baseline"/>
        </w:rPr>
        <w:t xml:space="preserve">sso deve-se admitir a relação sexual –, como também levantar constantemente d</w:t>
      </w:r>
      <w:r>
        <w:rPr>
          <w:sz w:val="24"/>
          <w:szCs w:val="24"/>
        </w:rPr>
        <w:t xml:space="preserve">ú</w:t>
      </w:r>
      <w:r>
        <w:rPr>
          <w:rStyle w:val="1103"/>
          <w:sz w:val="24"/>
          <w:szCs w:val="24"/>
          <w:vertAlign w:val="baseline"/>
        </w:rPr>
        <w:t xml:space="preserve">vidas sobre a conduta da vítima</w:t>
      </w:r>
      <w:r>
        <w:rPr>
          <w:sz w:val="24"/>
          <w:szCs w:val="24"/>
        </w:rPr>
        <w:t xml:space="preserve">. </w:t>
      </w:r>
      <w:r>
        <w:rPr>
          <w:sz w:val="24"/>
          <w:szCs w:val="24"/>
        </w:rPr>
        <w:t xml:space="preserve">Na documentação pesquisada, seis dos nove processos são </w:t>
      </w:r>
      <w:r>
        <w:rPr>
          <w:sz w:val="24"/>
          <w:szCs w:val="24"/>
        </w:rPr>
        <w:t xml:space="preserve">tipificados como “estupro presumido”, pois possuem agredidas com idade inferior a 14 anos, tipificação que possuía penas maiores. Nesses casos, mesmo havendo consentimento da agredida, a violência era caracterizada devido ao entendimento jurídico de incapa</w:t>
      </w:r>
      <w:r>
        <w:rPr>
          <w:sz w:val="24"/>
          <w:szCs w:val="24"/>
        </w:rPr>
        <w:t xml:space="preserve">cidade da mesma em consentir. </w:t>
      </w:r>
      <w:r>
        <w:rPr>
          <w:sz w:val="24"/>
          <w:szCs w:val="24"/>
        </w:rPr>
        <w:t xml:space="preserve">Tratava-se de um mecanismo de proteção à honra das meninas. Esse crime deveria ser punido com rigores previstos em lei. No entanto, o que se observa na documentação </w:t>
      </w:r>
      <w:r>
        <w:rPr>
          <w:sz w:val="24"/>
          <w:szCs w:val="24"/>
        </w:rPr>
        <w:t xml:space="preserve">pesquisada</w:t>
      </w:r>
      <w:r>
        <w:rPr>
          <w:sz w:val="24"/>
          <w:szCs w:val="24"/>
        </w:rPr>
        <w:t xml:space="preserve"> é que a justiça local acabava por subverter esse p</w:t>
      </w:r>
      <w:r>
        <w:rPr>
          <w:sz w:val="24"/>
          <w:szCs w:val="24"/>
        </w:rPr>
        <w:t xml:space="preserve">rocesso ao tratar esses estupros a partir das prerrogativas previstas para o crime de sedução, só aplicável em casos de consentimento de ofendida com idade entre 14 e 18 anos e que tenha sido adquirido mediante fraude. No caso do crime de sedução, a pena p</w:t>
      </w:r>
      <w:r>
        <w:rPr>
          <w:sz w:val="24"/>
          <w:szCs w:val="24"/>
        </w:rPr>
        <w:t xml:space="preserve">oderia ser extinta com a realização do casamento entre ofensor e ofendida, se tratando de um crime de honra do qual se exclui o aspecto da violência, portanto, uma interpretação equivocada da legislação, mas que atendia ao desejo social de reorganização.  </w:t>
      </w:r>
      <w:r>
        <w:rPr>
          <w:sz w:val="24"/>
          <w:szCs w:val="24"/>
        </w:rPr>
      </w:r>
      <w:r/>
    </w:p>
    <w:p>
      <w:pPr>
        <w:ind w:firstLine="709"/>
        <w:jc w:val="both"/>
        <w:spacing w:lineRule="auto" w:line="360"/>
      </w:pPr>
      <w:r>
        <w:rPr>
          <w:sz w:val="24"/>
          <w:szCs w:val="24"/>
        </w:rPr>
        <w:t xml:space="preserve">A virgindade é tomada como sinônimo de honra, como podemos ver. Contudo, essa honra, cuja proteção se mostra imprescindível, não pertence a mulher: lhe é imposta, não como atributo feminino, mas sim da família ou do marido, e consequentemente, mere</w:t>
      </w:r>
      <w:r>
        <w:rPr>
          <w:sz w:val="24"/>
          <w:szCs w:val="24"/>
        </w:rPr>
        <w:t xml:space="preserve">cedor de proteção. Sendo assim, como Fausto (1984) aponta, é revelado a honra feminina como um mecanismo de mediação da estabilidade familiar e marital, além de outras instituições sociais basilares. </w:t>
      </w:r>
      <w:r>
        <w:rPr>
          <w:rStyle w:val="1103"/>
          <w:sz w:val="24"/>
          <w:szCs w:val="24"/>
          <w:vertAlign w:val="baseline"/>
        </w:rPr>
        <w:t xml:space="preserve">Durante o interrogatório de Lucas, no qual revela</w:t>
      </w:r>
      <w:r>
        <w:rPr>
          <w:sz w:val="24"/>
          <w:szCs w:val="24"/>
        </w:rPr>
        <w:t xml:space="preserve">va</w:t>
      </w:r>
      <w:r>
        <w:rPr>
          <w:rStyle w:val="1103"/>
          <w:sz w:val="24"/>
          <w:szCs w:val="24"/>
          <w:vertAlign w:val="baseline"/>
        </w:rPr>
        <w:t xml:space="preserve"> suas</w:t>
      </w:r>
      <w:r>
        <w:rPr>
          <w:rStyle w:val="1103"/>
          <w:sz w:val="24"/>
          <w:szCs w:val="24"/>
          <w:vertAlign w:val="baseline"/>
        </w:rPr>
        <w:t xml:space="preserve"> “boas intenções” iniciais quanto ao namoro, as quais, porém, muda</w:t>
      </w:r>
      <w:r>
        <w:rPr>
          <w:sz w:val="24"/>
          <w:szCs w:val="24"/>
        </w:rPr>
        <w:t xml:space="preserve">ra</w:t>
      </w:r>
      <w:r>
        <w:rPr>
          <w:rStyle w:val="1103"/>
          <w:sz w:val="24"/>
          <w:szCs w:val="24"/>
          <w:vertAlign w:val="baseline"/>
        </w:rPr>
        <w:t xml:space="preserve">m quando descobr</w:t>
      </w:r>
      <w:r>
        <w:rPr>
          <w:sz w:val="24"/>
          <w:szCs w:val="24"/>
        </w:rPr>
        <w:t xml:space="preserve">iu</w:t>
      </w:r>
      <w:r>
        <w:rPr>
          <w:rStyle w:val="1103"/>
          <w:sz w:val="24"/>
          <w:szCs w:val="24"/>
          <w:vertAlign w:val="baseline"/>
        </w:rPr>
        <w:t xml:space="preserve"> que a família de Ágata “não tinham uma boa procedência”, o que o levou a se afastar. No entanto, a vítima teria o “perseguido” – a perseguição sofrida pelo réu é um recu</w:t>
      </w:r>
      <w:r>
        <w:rPr>
          <w:rStyle w:val="1103"/>
          <w:sz w:val="24"/>
          <w:szCs w:val="24"/>
          <w:vertAlign w:val="baseline"/>
        </w:rPr>
        <w:t xml:space="preserve">rso argumentativo que se repete entre as narrativas, e age na tentativa de conduzir a investigação e julgamento à vítima –, e eventualmente lhe confrontado. Na busca pelo casamento, Lucas afirmou </w:t>
      </w:r>
      <w:r>
        <w:rPr>
          <w:rStyle w:val="1103"/>
          <w:sz w:val="24"/>
          <w:szCs w:val="24"/>
          <w:vertAlign w:val="baseline"/>
        </w:rPr>
        <w:t xml:space="preserve">que a vítima: </w:t>
      </w:r>
      <w:r>
        <w:rPr>
          <w:sz w:val="24"/>
          <w:szCs w:val="24"/>
        </w:rPr>
      </w:r>
      <w:r/>
    </w:p>
    <w:p>
      <w:pPr>
        <w:ind w:left="2268"/>
        <w:jc w:val="both"/>
        <w:rPr>
          <w:sz w:val="20"/>
        </w:rPr>
      </w:pPr>
      <w:r>
        <w:rPr>
          <w:sz w:val="20"/>
          <w:szCs w:val="24"/>
        </w:rPr>
      </w:r>
      <w:r>
        <w:rPr>
          <w:sz w:val="20"/>
        </w:rPr>
      </w:r>
      <w:r/>
    </w:p>
    <w:p>
      <w:pPr>
        <w:ind w:left="2268"/>
        <w:jc w:val="both"/>
        <w:rPr>
          <w:color w:val="000000"/>
          <w:sz w:val="20"/>
        </w:rPr>
      </w:pPr>
      <w:r>
        <w:rPr>
          <w:color w:val="000000"/>
          <w:sz w:val="20"/>
        </w:rPr>
        <w:t xml:space="preserve">[…] estava disposta a ceder-lhe sexualmente; que, o interrogado a princípio recusou-se, quando Ágata, lhe disse que talvez o mesmo fosse ‘</w:t>
      </w:r>
      <w:r>
        <w:rPr>
          <w:color w:val="000000"/>
          <w:sz w:val="20"/>
        </w:rPr>
        <w:t xml:space="preserve">viado</w:t>
      </w:r>
      <w:r>
        <w:rPr>
          <w:color w:val="000000"/>
          <w:sz w:val="20"/>
        </w:rPr>
        <w:t xml:space="preserve">’; que, com isso, o interrogado sentou-se ofendido, tendo então mantido relações com Ágata; que no momento da cóp</w:t>
      </w:r>
      <w:r>
        <w:rPr>
          <w:color w:val="000000"/>
          <w:sz w:val="20"/>
        </w:rPr>
        <w:t xml:space="preserve">ula, o interrogado sentiu que Ágata não era mais moça, pois a mesma se portava como uma mulher adulta. [Fls. 19].</w:t>
      </w:r>
      <w:r>
        <w:rPr>
          <w:sz w:val="20"/>
        </w:rPr>
      </w:r>
      <w:r/>
    </w:p>
    <w:p>
      <w:pPr>
        <w:ind w:left="2268"/>
        <w:jc w:val="both"/>
        <w:rPr>
          <w:color w:val="000000"/>
          <w:sz w:val="20"/>
        </w:rPr>
      </w:pPr>
      <w:r>
        <w:rPr>
          <w:color w:val="000000"/>
          <w:sz w:val="20"/>
          <w:szCs w:val="24"/>
        </w:rPr>
      </w:r>
      <w:r>
        <w:rPr>
          <w:sz w:val="20"/>
        </w:rPr>
      </w:r>
      <w:r/>
    </w:p>
    <w:p>
      <w:pPr>
        <w:ind w:firstLine="708"/>
        <w:jc w:val="both"/>
        <w:spacing w:lineRule="auto" w:line="360"/>
      </w:pPr>
      <w:r>
        <w:rPr>
          <w:rStyle w:val="1103"/>
          <w:sz w:val="24"/>
          <w:szCs w:val="24"/>
          <w:vertAlign w:val="baseline"/>
        </w:rPr>
        <w:t xml:space="preserve">Dessa forma, o réu direcion</w:t>
      </w:r>
      <w:r>
        <w:rPr>
          <w:sz w:val="24"/>
          <w:szCs w:val="24"/>
        </w:rPr>
        <w:t xml:space="preserve">ou</w:t>
      </w:r>
      <w:r>
        <w:rPr>
          <w:rStyle w:val="1103"/>
          <w:sz w:val="24"/>
          <w:szCs w:val="24"/>
          <w:vertAlign w:val="baseline"/>
        </w:rPr>
        <w:t xml:space="preserve"> a atenção legal à vítima, o que atesta a fala de Jennifer </w:t>
      </w:r>
      <w:r>
        <w:rPr>
          <w:rStyle w:val="1103"/>
          <w:sz w:val="24"/>
          <w:szCs w:val="24"/>
          <w:vertAlign w:val="baseline"/>
        </w:rPr>
        <w:t xml:space="preserve">Temkin</w:t>
      </w:r>
      <w:r>
        <w:rPr>
          <w:rStyle w:val="1103"/>
          <w:sz w:val="24"/>
          <w:szCs w:val="24"/>
          <w:vertAlign w:val="baseline"/>
        </w:rPr>
        <w:t xml:space="preserve"> (1992), que infere a frequência com a qual a r</w:t>
      </w:r>
      <w:r>
        <w:rPr>
          <w:rStyle w:val="1103"/>
          <w:sz w:val="24"/>
          <w:szCs w:val="24"/>
          <w:vertAlign w:val="baseline"/>
        </w:rPr>
        <w:t xml:space="preserve">eclamante torna-se o foco do julgamento, mais do que o próprio réu. Nesse momento, Lucas também se demonstr</w:t>
      </w:r>
      <w:r>
        <w:rPr>
          <w:sz w:val="24"/>
          <w:szCs w:val="24"/>
        </w:rPr>
        <w:t xml:space="preserve">ou</w:t>
      </w:r>
      <w:r>
        <w:rPr>
          <w:rStyle w:val="1103"/>
          <w:sz w:val="24"/>
          <w:szCs w:val="24"/>
          <w:vertAlign w:val="baseline"/>
        </w:rPr>
        <w:t xml:space="preserve"> vítima da ofensa de Ágata à sua masculinidade, se sentindo na obrigação de reafirmá-la por meio do ato sexual. No julgamento de crimes sexuais com</w:t>
      </w:r>
      <w:r>
        <w:rPr>
          <w:rStyle w:val="1103"/>
          <w:sz w:val="24"/>
          <w:szCs w:val="24"/>
          <w:vertAlign w:val="baseline"/>
        </w:rPr>
        <w:t xml:space="preserve">o o estupro há um sistema de perguntas</w:t>
      </w:r>
      <w:r>
        <w:rPr>
          <w:rStyle w:val="1103"/>
          <w:sz w:val="24"/>
          <w:szCs w:val="24"/>
          <w:vertAlign w:val="baseline"/>
        </w:rPr>
        <w:t xml:space="preserve"> e argumentações que giram em torno de determinar a inocência da mulher (e seu grau)</w:t>
      </w:r>
      <w:r>
        <w:rPr>
          <w:sz w:val="24"/>
          <w:szCs w:val="24"/>
        </w:rPr>
        <w:t xml:space="preserve">. U</w:t>
      </w:r>
      <w:r>
        <w:rPr>
          <w:rStyle w:val="1103"/>
          <w:sz w:val="24"/>
          <w:szCs w:val="24"/>
          <w:vertAlign w:val="baseline"/>
        </w:rPr>
        <w:t xml:space="preserve">ma vez determinada, essa inocência parece agir como medidora da proteção legal que essa mulher receberá. Veremos como esse senso</w:t>
      </w:r>
      <w:r>
        <w:rPr>
          <w:rStyle w:val="1103"/>
          <w:sz w:val="24"/>
          <w:szCs w:val="24"/>
          <w:vertAlign w:val="baseline"/>
        </w:rPr>
        <w:t xml:space="preserve">r é baseado na normatividade atribuída à mulher, e como isso implica nas relações de poder. Essas perguntas são feitas pelos atores jurídicos, de acordo com Correa (1983), os quais exercem o que a autora chama de manipulação técnica. </w:t>
      </w:r>
      <w:r>
        <w:rPr>
          <w:sz w:val="24"/>
          <w:szCs w:val="24"/>
        </w:rPr>
        <w:t xml:space="preserve">Essa tentativa de atri</w:t>
      </w:r>
      <w:r>
        <w:rPr>
          <w:sz w:val="24"/>
          <w:szCs w:val="24"/>
        </w:rPr>
        <w:t xml:space="preserve">buir à vítima o papel de “mulher devassa” é uma estratégia recorrente e que se apresenta no processo 221/1979</w:t>
      </w:r>
      <w:r>
        <w:rPr>
          <w:rStyle w:val="1103"/>
          <w:sz w:val="24"/>
          <w:szCs w:val="24"/>
        </w:rPr>
        <w:footnoteReference w:id="19"/>
      </w:r>
      <w:r>
        <w:rPr>
          <w:sz w:val="24"/>
          <w:szCs w:val="24"/>
        </w:rPr>
        <w:t xml:space="preserve">. Elsa (13 anos), filha do motorista da mãe de </w:t>
      </w:r>
      <w:r>
        <w:rPr>
          <w:sz w:val="24"/>
          <w:szCs w:val="24"/>
        </w:rPr>
        <w:t xml:space="preserve">Jucelino</w:t>
      </w:r>
      <w:r>
        <w:rPr>
          <w:sz w:val="24"/>
          <w:szCs w:val="24"/>
        </w:rPr>
        <w:t xml:space="preserve"> (réu. 19 anos), que apresenta cartas de autoria da jovem, argumentando que a</w:t>
      </w:r>
      <w:r>
        <w:rPr>
          <w:sz w:val="24"/>
          <w:szCs w:val="24"/>
        </w:rPr>
        <w:t xml:space="preserve"> mesma nutria sentimentos românticos, os quais não eram correspondidos. Ele foi absolvido por falta de provas, além do laudo pericial, que não pode comprovar que fora </w:t>
      </w:r>
      <w:r>
        <w:rPr>
          <w:sz w:val="24"/>
          <w:szCs w:val="24"/>
        </w:rPr>
        <w:t xml:space="preserve">Jucelino</w:t>
      </w:r>
      <w:r>
        <w:rPr>
          <w:sz w:val="24"/>
          <w:szCs w:val="24"/>
        </w:rPr>
        <w:t xml:space="preserve"> que a deflorou</w:t>
      </w:r>
      <w:r>
        <w:rPr>
          <w:rStyle w:val="1103"/>
          <w:sz w:val="24"/>
          <w:szCs w:val="24"/>
        </w:rPr>
        <w:footnoteReference w:id="20"/>
      </w:r>
      <w:r>
        <w:rPr>
          <w:sz w:val="24"/>
          <w:szCs w:val="24"/>
        </w:rPr>
        <w:t xml:space="preserve">. Elsa e </w:t>
      </w:r>
      <w:r>
        <w:rPr>
          <w:sz w:val="24"/>
          <w:szCs w:val="24"/>
        </w:rPr>
        <w:t xml:space="preserve">seus familiares não foram encontrados para prestar o segundo depoimento, dando argumentos para o advogado de defesa sobre a inverdade acerca da denúncia.</w:t>
      </w:r>
      <w:r>
        <w:rPr>
          <w:rStyle w:val="1103"/>
          <w:sz w:val="24"/>
          <w:szCs w:val="24"/>
          <w:vertAlign w:val="baseline"/>
        </w:rPr>
        <w:t xml:space="preserve"> </w:t>
      </w:r>
      <w:r>
        <w:rPr>
          <w:sz w:val="22"/>
          <w:szCs w:val="24"/>
        </w:rPr>
      </w:r>
      <w:r/>
    </w:p>
    <w:p>
      <w:pPr>
        <w:ind w:firstLine="709"/>
        <w:jc w:val="both"/>
        <w:spacing w:lineRule="auto" w:line="360"/>
        <w:rPr>
          <w:sz w:val="24"/>
          <w:szCs w:val="24"/>
        </w:rPr>
      </w:pPr>
      <w:r>
        <w:rPr>
          <w:rStyle w:val="1103"/>
          <w:sz w:val="24"/>
          <w:szCs w:val="24"/>
          <w:vertAlign w:val="baseline"/>
        </w:rPr>
        <w:t xml:space="preserve">Quando Antônio </w:t>
      </w:r>
      <w:r>
        <w:rPr>
          <w:sz w:val="24"/>
          <w:szCs w:val="24"/>
        </w:rPr>
        <w:t xml:space="preserve">foi</w:t>
      </w:r>
      <w:r>
        <w:rPr>
          <w:rStyle w:val="1103"/>
          <w:sz w:val="24"/>
          <w:szCs w:val="24"/>
          <w:vertAlign w:val="baseline"/>
        </w:rPr>
        <w:t xml:space="preserve"> interrogado, neg</w:t>
      </w:r>
      <w:r>
        <w:rPr>
          <w:sz w:val="24"/>
          <w:szCs w:val="24"/>
        </w:rPr>
        <w:t xml:space="preserve">ou</w:t>
      </w:r>
      <w:r>
        <w:rPr>
          <w:rStyle w:val="1103"/>
          <w:sz w:val="24"/>
          <w:szCs w:val="24"/>
          <w:vertAlign w:val="baseline"/>
        </w:rPr>
        <w:t xml:space="preserve"> o namoro com a </w:t>
      </w:r>
      <w:r>
        <w:rPr>
          <w:sz w:val="24"/>
          <w:szCs w:val="24"/>
        </w:rPr>
        <w:t xml:space="preserve">agredida</w:t>
      </w:r>
      <w:r>
        <w:rPr>
          <w:rStyle w:val="1103"/>
          <w:sz w:val="24"/>
          <w:szCs w:val="24"/>
          <w:vertAlign w:val="baseline"/>
        </w:rPr>
        <w:t xml:space="preserve"> e declar</w:t>
      </w:r>
      <w:r>
        <w:rPr>
          <w:sz w:val="24"/>
          <w:szCs w:val="24"/>
        </w:rPr>
        <w:t xml:space="preserve">ou</w:t>
      </w:r>
      <w:r>
        <w:rPr>
          <w:rStyle w:val="1103"/>
          <w:sz w:val="24"/>
          <w:szCs w:val="24"/>
          <w:vertAlign w:val="baseline"/>
        </w:rPr>
        <w:t xml:space="preserve"> que estava bêbado ao manter</w:t>
      </w:r>
      <w:r>
        <w:rPr>
          <w:rStyle w:val="1103"/>
          <w:sz w:val="24"/>
          <w:szCs w:val="24"/>
          <w:vertAlign w:val="baseline"/>
        </w:rPr>
        <w:t xml:space="preserve"> relações sexuais com Elisa, que não era virgem, segundo ele. </w:t>
      </w:r>
      <w:r>
        <w:rPr>
          <w:sz w:val="24"/>
          <w:szCs w:val="24"/>
        </w:rPr>
        <w:t xml:space="preserve">Era</w:t>
      </w:r>
      <w:r>
        <w:rPr>
          <w:rStyle w:val="1103"/>
          <w:sz w:val="24"/>
          <w:szCs w:val="24"/>
          <w:vertAlign w:val="baseline"/>
        </w:rPr>
        <w:t xml:space="preserve"> comum que as testemunhas </w:t>
      </w:r>
      <w:r>
        <w:rPr>
          <w:sz w:val="24"/>
          <w:szCs w:val="24"/>
        </w:rPr>
        <w:t xml:space="preserve">fossem</w:t>
      </w:r>
      <w:r>
        <w:rPr>
          <w:rStyle w:val="1103"/>
          <w:sz w:val="24"/>
          <w:szCs w:val="24"/>
          <w:vertAlign w:val="baseline"/>
        </w:rPr>
        <w:t xml:space="preserve"> inquiridas sobre a conduta da vítima, o que também traz</w:t>
      </w:r>
      <w:r>
        <w:rPr>
          <w:sz w:val="24"/>
          <w:szCs w:val="24"/>
        </w:rPr>
        <w:t xml:space="preserve">ia</w:t>
      </w:r>
      <w:r>
        <w:rPr>
          <w:rStyle w:val="1103"/>
          <w:sz w:val="24"/>
          <w:szCs w:val="24"/>
          <w:vertAlign w:val="baseline"/>
        </w:rPr>
        <w:t xml:space="preserve"> a questão sobre namoros antecessores – isso demonstra a inocência de mulher quanto às relações sexua</w:t>
      </w:r>
      <w:r>
        <w:rPr>
          <w:rStyle w:val="1103"/>
          <w:sz w:val="24"/>
          <w:szCs w:val="24"/>
          <w:vertAlign w:val="baseline"/>
        </w:rPr>
        <w:t xml:space="preserve">is, dado que a moça que já mant</w:t>
      </w:r>
      <w:r>
        <w:rPr>
          <w:sz w:val="24"/>
          <w:szCs w:val="24"/>
        </w:rPr>
        <w:t xml:space="preserve">ivera</w:t>
      </w:r>
      <w:r>
        <w:rPr>
          <w:rStyle w:val="1103"/>
          <w:sz w:val="24"/>
          <w:szCs w:val="24"/>
          <w:vertAlign w:val="baseline"/>
        </w:rPr>
        <w:t xml:space="preserve"> namoro não seria “pura”. A reputação da mulher era o que baseava o argumento acerca do seu consentimento (ou a falta dele): quanto mais ing</w:t>
      </w:r>
      <w:r>
        <w:rPr>
          <w:sz w:val="24"/>
          <w:szCs w:val="24"/>
        </w:rPr>
        <w:t xml:space="preserve">ê</w:t>
      </w:r>
      <w:r>
        <w:rPr>
          <w:rStyle w:val="1103"/>
          <w:sz w:val="24"/>
          <w:szCs w:val="24"/>
          <w:vertAlign w:val="baseline"/>
        </w:rPr>
        <w:t xml:space="preserve">nua e casta, mais plausível </w:t>
      </w:r>
      <w:r>
        <w:rPr>
          <w:sz w:val="24"/>
          <w:szCs w:val="24"/>
        </w:rPr>
        <w:t xml:space="preserve">era</w:t>
      </w:r>
      <w:r>
        <w:rPr>
          <w:rStyle w:val="1103"/>
          <w:sz w:val="24"/>
          <w:szCs w:val="24"/>
          <w:vertAlign w:val="baseline"/>
        </w:rPr>
        <w:t xml:space="preserve"> a denúncia. Embora </w:t>
      </w:r>
      <w:r>
        <w:rPr>
          <w:sz w:val="24"/>
          <w:szCs w:val="24"/>
        </w:rPr>
        <w:t xml:space="preserve">fossem</w:t>
      </w:r>
      <w:r>
        <w:rPr>
          <w:rStyle w:val="1103"/>
          <w:sz w:val="24"/>
          <w:szCs w:val="24"/>
          <w:vertAlign w:val="baseline"/>
        </w:rPr>
        <w:t xml:space="preserve"> ocorrências </w:t>
      </w:r>
      <w:r>
        <w:rPr>
          <w:sz w:val="24"/>
          <w:szCs w:val="24"/>
        </w:rPr>
        <w:t xml:space="preserve">de</w:t>
      </w:r>
      <w:r>
        <w:rPr>
          <w:rStyle w:val="1103"/>
          <w:sz w:val="24"/>
          <w:szCs w:val="24"/>
          <w:vertAlign w:val="baseline"/>
        </w:rPr>
        <w:t xml:space="preserve"> estupr</w:t>
      </w:r>
      <w:r>
        <w:rPr>
          <w:rStyle w:val="1103"/>
          <w:sz w:val="24"/>
          <w:szCs w:val="24"/>
          <w:vertAlign w:val="baseline"/>
        </w:rPr>
        <w:t xml:space="preserve">o presumido, não se descarta a honra da denunciante como parâmetro. No julgamento a avaliação</w:t>
      </w:r>
      <w:r>
        <w:rPr>
          <w:sz w:val="24"/>
          <w:szCs w:val="24"/>
        </w:rPr>
        <w:t xml:space="preserve"> era</w:t>
      </w:r>
      <w:r>
        <w:rPr>
          <w:rStyle w:val="1103"/>
          <w:sz w:val="24"/>
          <w:szCs w:val="24"/>
          <w:vertAlign w:val="baseline"/>
        </w:rPr>
        <w:t xml:space="preserve"> direcionada à vítima, em razão aos argumentos utilizados pela defesa. Nesse sentido, a defesa busca</w:t>
      </w:r>
      <w:r>
        <w:rPr>
          <w:sz w:val="24"/>
          <w:szCs w:val="24"/>
        </w:rPr>
        <w:t xml:space="preserve">va</w:t>
      </w:r>
      <w:r>
        <w:rPr>
          <w:rStyle w:val="1103"/>
          <w:sz w:val="24"/>
          <w:szCs w:val="24"/>
          <w:vertAlign w:val="baseline"/>
        </w:rPr>
        <w:t xml:space="preserve"> a construção de uma “mulher devassa”, sustentand</w:t>
      </w:r>
      <w:r>
        <w:rPr>
          <w:sz w:val="24"/>
          <w:szCs w:val="24"/>
        </w:rPr>
        <w:t xml:space="preserve">o</w:t>
      </w:r>
      <w:r>
        <w:rPr>
          <w:rStyle w:val="1103"/>
          <w:sz w:val="24"/>
          <w:szCs w:val="24"/>
          <w:vertAlign w:val="baseline"/>
        </w:rPr>
        <w:t xml:space="preserve"> experiência sexual anterior, seu desvirginamento por parte de outro homem que não o réu. </w:t>
      </w:r>
      <w:r>
        <w:rPr>
          <w:rStyle w:val="1103"/>
          <w:sz w:val="24"/>
          <w:szCs w:val="24"/>
          <w:vertAlign w:val="baseline"/>
        </w:rPr>
        <w:t xml:space="preserve">“Convém lembrar que, mesmo que a menor já fosse desvirginada, não haveria alteração no quadro processual, uma vez que a virgindade da vítima não é elemento do crime </w:t>
      </w:r>
      <w:r>
        <w:rPr>
          <w:rStyle w:val="1103"/>
          <w:sz w:val="24"/>
          <w:szCs w:val="24"/>
          <w:vertAlign w:val="baseline"/>
        </w:rPr>
        <w:t xml:space="preserve">de estupro” [Fls. 39]</w:t>
      </w:r>
      <w:r>
        <w:rPr>
          <w:sz w:val="24"/>
          <w:szCs w:val="24"/>
        </w:rPr>
        <w:t xml:space="preserve">. Essa fala é do </w:t>
      </w:r>
      <w:r>
        <w:rPr>
          <w:rStyle w:val="1103"/>
          <w:sz w:val="24"/>
          <w:szCs w:val="24"/>
          <w:vertAlign w:val="baseline"/>
        </w:rPr>
        <w:t xml:space="preserve">promotor no caso de Antônio e Elisa</w:t>
      </w:r>
      <w:r>
        <w:rPr>
          <w:sz w:val="24"/>
          <w:szCs w:val="24"/>
        </w:rPr>
        <w:t xml:space="preserve">. O</w:t>
      </w:r>
      <w:r>
        <w:rPr>
          <w:rStyle w:val="1103"/>
          <w:sz w:val="24"/>
          <w:szCs w:val="24"/>
          <w:vertAlign w:val="baseline"/>
        </w:rPr>
        <w:t xml:space="preserve"> juiz conden</w:t>
      </w:r>
      <w:r>
        <w:rPr>
          <w:sz w:val="24"/>
          <w:szCs w:val="24"/>
        </w:rPr>
        <w:t xml:space="preserve">ou o réu</w:t>
      </w:r>
      <w:r>
        <w:rPr>
          <w:rStyle w:val="1103"/>
          <w:sz w:val="24"/>
          <w:szCs w:val="24"/>
          <w:vertAlign w:val="baseline"/>
        </w:rPr>
        <w:t xml:space="preserve"> a 3 anos de reclusão. Com o mesmo argumento, o promotor do processo 74/1975 ped</w:t>
      </w:r>
      <w:r>
        <w:rPr>
          <w:sz w:val="24"/>
          <w:szCs w:val="24"/>
        </w:rPr>
        <w:t xml:space="preserve">iu</w:t>
      </w:r>
      <w:r>
        <w:rPr>
          <w:rStyle w:val="1103"/>
          <w:sz w:val="24"/>
          <w:szCs w:val="24"/>
          <w:vertAlign w:val="baseline"/>
        </w:rPr>
        <w:t xml:space="preserve"> a punição do réu, cu</w:t>
      </w:r>
      <w:r>
        <w:rPr>
          <w:sz w:val="24"/>
          <w:szCs w:val="24"/>
        </w:rPr>
        <w:t xml:space="preserve">ja punibilidade foi</w:t>
      </w:r>
      <w:r>
        <w:rPr>
          <w:rStyle w:val="1103"/>
          <w:sz w:val="24"/>
          <w:szCs w:val="24"/>
          <w:vertAlign w:val="baseline"/>
        </w:rPr>
        <w:t xml:space="preserve"> extint</w:t>
      </w:r>
      <w:r>
        <w:rPr>
          <w:sz w:val="24"/>
          <w:szCs w:val="24"/>
        </w:rPr>
        <w:t xml:space="preserve">a</w:t>
      </w:r>
      <w:r>
        <w:rPr>
          <w:rStyle w:val="1103"/>
          <w:sz w:val="24"/>
          <w:szCs w:val="24"/>
          <w:vertAlign w:val="baseline"/>
        </w:rPr>
        <w:t xml:space="preserve">. Diferente de Lucas e Ágata, </w:t>
      </w:r>
      <w:r>
        <w:rPr>
          <w:rStyle w:val="1103"/>
          <w:sz w:val="24"/>
          <w:szCs w:val="24"/>
          <w:vertAlign w:val="baseline"/>
        </w:rPr>
        <w:t xml:space="preserve">nesse caso réu e vítima se casa</w:t>
      </w:r>
      <w:r>
        <w:rPr>
          <w:sz w:val="24"/>
          <w:szCs w:val="24"/>
        </w:rPr>
        <w:t xml:space="preserve">ra</w:t>
      </w:r>
      <w:r>
        <w:rPr>
          <w:rStyle w:val="1103"/>
          <w:sz w:val="24"/>
          <w:szCs w:val="24"/>
          <w:vertAlign w:val="baseline"/>
        </w:rPr>
        <w:t xml:space="preserve">m, reconstituindo a honra</w:t>
      </w:r>
      <w:r>
        <w:rPr>
          <w:sz w:val="24"/>
          <w:szCs w:val="24"/>
        </w:rPr>
        <w:t xml:space="preserve"> violada</w:t>
      </w:r>
      <w:r>
        <w:rPr>
          <w:rStyle w:val="1103"/>
          <w:sz w:val="24"/>
          <w:szCs w:val="24"/>
          <w:vertAlign w:val="baseline"/>
        </w:rPr>
        <w:t xml:space="preserve"> da jovem</w:t>
      </w:r>
      <w:r>
        <w:rPr>
          <w:sz w:val="24"/>
          <w:szCs w:val="24"/>
        </w:rPr>
        <w:t xml:space="preserve">. Contudo, não se trata se um episódio de sedução (art. 217) com o qual a justiça parecia lidar, e sim de um estupro, cuja resolução não poderia jamais ser o casamento entre o réu e</w:t>
      </w:r>
      <w:r>
        <w:rPr>
          <w:sz w:val="24"/>
          <w:szCs w:val="24"/>
        </w:rPr>
        <w:t xml:space="preserve"> a agredida. De acordo com o Código Penal, tal parecer seria errôneo, nos levando a crer que a interpretação difusa sobre o crime seria motivada pela noção de que o estuprador abandonar a estuprada era considerado pior que o próprio crime. </w:t>
      </w:r>
      <w:r/>
    </w:p>
    <w:p>
      <w:pPr>
        <w:ind w:firstLine="709"/>
        <w:jc w:val="both"/>
        <w:spacing w:lineRule="auto" w:line="360"/>
      </w:pPr>
      <w:r>
        <w:rPr>
          <w:sz w:val="24"/>
          <w:szCs w:val="24"/>
        </w:rPr>
        <w:t xml:space="preserve">Essa concepção e</w:t>
      </w:r>
      <w:r>
        <w:rPr>
          <w:sz w:val="24"/>
          <w:szCs w:val="24"/>
        </w:rPr>
        <w:t xml:space="preserve">stá também no processo 103/1978, com a justiça local ignorando a idade das agredidas, afim de transformar estupros em crimes de sedução (defloramento), com o intuito de resguardar a honra que essas jovens carregavam. Garantir-lhes a </w:t>
      </w:r>
      <w:r>
        <w:rPr>
          <w:sz w:val="24"/>
          <w:szCs w:val="24"/>
        </w:rPr>
        <w:t xml:space="preserve">imaculação</w:t>
      </w:r>
      <w:r>
        <w:rPr>
          <w:sz w:val="24"/>
          <w:szCs w:val="24"/>
        </w:rPr>
        <w:t xml:space="preserve"> da honra se </w:t>
      </w:r>
      <w:r>
        <w:rPr>
          <w:sz w:val="24"/>
          <w:szCs w:val="24"/>
        </w:rPr>
        <w:t xml:space="preserve">mostrava prioridade ante a punir um homem por estupro, considerando a relação sexual não consensual não como um crime, mas sim como uma ofensa à honra que poderia ser reparada. </w:t>
      </w:r>
      <w:r>
        <w:rPr>
          <w:rStyle w:val="1103"/>
          <w:sz w:val="24"/>
          <w:szCs w:val="24"/>
          <w:vertAlign w:val="baseline"/>
        </w:rPr>
        <w:t xml:space="preserve">No processo 103/1978, Tainá e Lauro apresentam um desenrolar disti</w:t>
      </w:r>
      <w:r>
        <w:rPr>
          <w:rStyle w:val="1103"/>
          <w:sz w:val="24"/>
          <w:szCs w:val="24"/>
          <w:vertAlign w:val="baseline"/>
        </w:rPr>
        <w:t xml:space="preserve">nto dos anteriores, dado que neste, o réu não nega as imputações que são lhe feitas, admitindo até mesmo ter agredido a vítima em uma das vezes que </w:t>
      </w:r>
      <w:r>
        <w:rPr>
          <w:rStyle w:val="1103"/>
          <w:sz w:val="24"/>
          <w:szCs w:val="24"/>
          <w:vertAlign w:val="baseline"/>
        </w:rPr>
        <w:t xml:space="preserve">esta</w:t>
      </w:r>
      <w:r>
        <w:rPr>
          <w:rStyle w:val="1103"/>
          <w:sz w:val="24"/>
          <w:szCs w:val="24"/>
          <w:vertAlign w:val="baseline"/>
        </w:rPr>
        <w:t xml:space="preserve"> se mudou para sua casa – em razão à desentendimentos, segundo o mesmo –, apesar de não assu</w:t>
      </w:r>
      <w:r>
        <w:rPr>
          <w:rStyle w:val="1103"/>
          <w:sz w:val="24"/>
          <w:szCs w:val="24"/>
          <w:vertAlign w:val="baseline"/>
        </w:rPr>
        <w:t xml:space="preserve">mir o desvirginamento da jovem, uma vez que incube a responsabilidade à outros homens. Há uma indiferença velada </w:t>
      </w:r>
      <w:r>
        <w:rPr>
          <w:rStyle w:val="1103"/>
          <w:sz w:val="24"/>
          <w:szCs w:val="24"/>
          <w:vertAlign w:val="baseline"/>
        </w:rPr>
        <w:t xml:space="preserve">à agressão, posto que, ao se casarem, o processo </w:t>
      </w:r>
      <w:r>
        <w:rPr>
          <w:sz w:val="24"/>
          <w:szCs w:val="24"/>
        </w:rPr>
        <w:t xml:space="preserve">foi</w:t>
      </w:r>
      <w:r>
        <w:rPr>
          <w:rStyle w:val="1103"/>
          <w:sz w:val="24"/>
          <w:szCs w:val="24"/>
          <w:vertAlign w:val="baseline"/>
        </w:rPr>
        <w:t xml:space="preserve"> arquivado</w:t>
      </w:r>
      <w:r>
        <w:rPr>
          <w:rStyle w:val="1103"/>
          <w:sz w:val="24"/>
          <w:szCs w:val="24"/>
          <w:vertAlign w:val="baseline"/>
        </w:rPr>
        <w:t xml:space="preserve">.</w:t>
      </w:r>
      <w:r>
        <w:rPr>
          <w:sz w:val="24"/>
          <w:szCs w:val="24"/>
        </w:rPr>
      </w:r>
      <w:r/>
    </w:p>
    <w:p>
      <w:pPr>
        <w:ind w:firstLine="709"/>
        <w:jc w:val="both"/>
        <w:spacing w:lineRule="auto" w:line="360"/>
        <w:rPr>
          <w:sz w:val="24"/>
        </w:rPr>
      </w:pPr>
      <w:r>
        <w:rPr>
          <w:sz w:val="24"/>
          <w:szCs w:val="24"/>
        </w:rPr>
        <w:t xml:space="preserve">Beatriz (14 anos) retornava à sua casa por volta das 18 hor</w:t>
      </w:r>
      <w:r>
        <w:rPr>
          <w:sz w:val="24"/>
          <w:szCs w:val="24"/>
        </w:rPr>
        <w:t xml:space="preserve">as, quando </w:t>
      </w:r>
      <w:r>
        <w:rPr>
          <w:sz w:val="24"/>
          <w:szCs w:val="24"/>
        </w:rPr>
        <w:t xml:space="preserve">foi</w:t>
      </w:r>
      <w:r>
        <w:rPr>
          <w:sz w:val="24"/>
          <w:szCs w:val="24"/>
        </w:rPr>
        <w:t xml:space="preserve"> imobilizada</w:t>
      </w:r>
      <w:r>
        <w:rPr>
          <w:sz w:val="24"/>
          <w:szCs w:val="24"/>
        </w:rPr>
        <w:t xml:space="preserve"> e amordaçada</w:t>
      </w:r>
      <w:r>
        <w:rPr>
          <w:sz w:val="24"/>
          <w:szCs w:val="24"/>
        </w:rPr>
        <w:t xml:space="preserve">.</w:t>
      </w:r>
      <w:r>
        <w:rPr>
          <w:sz w:val="24"/>
          <w:szCs w:val="24"/>
        </w:rPr>
        <w:t xml:space="preserve"> </w:t>
      </w:r>
      <w:r>
        <w:rPr>
          <w:sz w:val="24"/>
          <w:szCs w:val="24"/>
        </w:rPr>
        <w:t xml:space="preserve">Impedida d</w:t>
      </w:r>
      <w:r>
        <w:rPr>
          <w:sz w:val="24"/>
          <w:szCs w:val="24"/>
        </w:rPr>
        <w:t xml:space="preserve">e gritar</w:t>
      </w:r>
      <w:r>
        <w:rPr>
          <w:sz w:val="24"/>
          <w:szCs w:val="24"/>
        </w:rPr>
        <w:t xml:space="preserve">, foi</w:t>
      </w:r>
      <w:r>
        <w:rPr>
          <w:sz w:val="24"/>
          <w:szCs w:val="24"/>
        </w:rPr>
        <w:t xml:space="preserve"> arrastada a um quarto, e mediante ameaça de morte,</w:t>
      </w:r>
      <w:r>
        <w:rPr>
          <w:sz w:val="24"/>
          <w:szCs w:val="24"/>
        </w:rPr>
        <w:t xml:space="preserve"> obrigada a manter conjunção carnal</w:t>
      </w:r>
      <w:r>
        <w:rPr>
          <w:sz w:val="24"/>
          <w:szCs w:val="24"/>
        </w:rPr>
        <w:t xml:space="preserve">. </w:t>
      </w:r>
      <w:r>
        <w:rPr>
          <w:sz w:val="24"/>
          <w:szCs w:val="24"/>
        </w:rPr>
        <w:t xml:space="preserve">O agressor era o</w:t>
      </w:r>
      <w:r>
        <w:rPr>
          <w:sz w:val="24"/>
          <w:szCs w:val="24"/>
        </w:rPr>
        <w:t xml:space="preserve"> marido de s</w:t>
      </w:r>
      <w:r>
        <w:rPr>
          <w:sz w:val="24"/>
          <w:szCs w:val="24"/>
        </w:rPr>
        <w:t xml:space="preserve">ua prima. Dessa forma se desenh</w:t>
      </w:r>
      <w:r>
        <w:rPr>
          <w:sz w:val="24"/>
          <w:szCs w:val="24"/>
        </w:rPr>
        <w:t xml:space="preserve">ou</w:t>
      </w:r>
      <w:r>
        <w:rPr>
          <w:sz w:val="24"/>
          <w:szCs w:val="24"/>
        </w:rPr>
        <w:t xml:space="preserve"> a denúncia do crime, com a declaração da vítima. O réu neg</w:t>
      </w:r>
      <w:r>
        <w:rPr>
          <w:sz w:val="24"/>
          <w:szCs w:val="24"/>
        </w:rPr>
        <w:t xml:space="preserve">ou</w:t>
      </w:r>
      <w:r>
        <w:rPr>
          <w:sz w:val="24"/>
          <w:szCs w:val="24"/>
        </w:rPr>
        <w:t xml:space="preserve"> as acusações, apontando o motivo da jovem o fazer: inveja, “já que o mesmo vive amasiado com uma prima da mencionada moça” [fls. 22</w:t>
      </w:r>
      <w:r>
        <w:rPr>
          <w:sz w:val="24"/>
          <w:szCs w:val="24"/>
        </w:rPr>
        <w:t xml:space="preserve">]</w:t>
      </w:r>
      <w:r>
        <w:rPr>
          <w:rStyle w:val="1103"/>
          <w:sz w:val="24"/>
          <w:szCs w:val="24"/>
        </w:rPr>
        <w:footnoteReference w:id="21"/>
      </w:r>
      <w:r>
        <w:rPr>
          <w:sz w:val="24"/>
          <w:szCs w:val="24"/>
        </w:rPr>
        <w:t xml:space="preserve">. À vítima, em audiência, foram </w:t>
      </w:r>
      <w:r>
        <w:rPr>
          <w:sz w:val="24"/>
          <w:szCs w:val="24"/>
        </w:rPr>
        <w:t xml:space="preserve">refeitas</w:t>
      </w:r>
      <w:r>
        <w:rPr>
          <w:sz w:val="24"/>
          <w:szCs w:val="24"/>
        </w:rPr>
        <w:t xml:space="preserve"> pelo</w:t>
      </w:r>
      <w:r>
        <w:rPr>
          <w:sz w:val="24"/>
          <w:szCs w:val="24"/>
        </w:rPr>
        <w:t xml:space="preserve"> promotor </w:t>
      </w:r>
      <w:r>
        <w:rPr>
          <w:sz w:val="24"/>
          <w:szCs w:val="24"/>
        </w:rPr>
        <w:t xml:space="preserve">algumas questões </w:t>
      </w:r>
      <w:r>
        <w:rPr>
          <w:rStyle w:val="1103"/>
          <w:sz w:val="24"/>
          <w:szCs w:val="24"/>
          <w:vertAlign w:val="baseline"/>
        </w:rPr>
        <w:t xml:space="preserve">–</w:t>
      </w:r>
      <w:r>
        <w:rPr>
          <w:sz w:val="24"/>
          <w:szCs w:val="24"/>
        </w:rPr>
        <w:t xml:space="preserve"> após sua declaração inicial guiada pelas perguntas do juiz</w:t>
      </w:r>
      <w:r>
        <w:rPr>
          <w:sz w:val="24"/>
          <w:szCs w:val="24"/>
        </w:rPr>
        <w:t xml:space="preserve"> </w:t>
      </w:r>
      <w:r>
        <w:rPr>
          <w:rStyle w:val="1103"/>
          <w:sz w:val="24"/>
          <w:szCs w:val="24"/>
          <w:vertAlign w:val="baseline"/>
        </w:rPr>
        <w:t xml:space="preserve">–</w:t>
      </w:r>
      <w:r>
        <w:rPr>
          <w:sz w:val="24"/>
          <w:szCs w:val="24"/>
        </w:rPr>
        <w:t xml:space="preserve"> </w:t>
      </w:r>
      <w:r>
        <w:rPr>
          <w:sz w:val="24"/>
          <w:szCs w:val="24"/>
        </w:rPr>
        <w:t xml:space="preserve">, de modo que a jovem esclareceu ter sido impedida de gritar, além de outros fatores envolvendo </w:t>
      </w:r>
      <w:r>
        <w:rPr>
          <w:sz w:val="24"/>
          <w:szCs w:val="24"/>
        </w:rPr>
        <w:t xml:space="preserve">suas ações durante o ato. Foi perguntado se espontaneamente “abriu as pernas para o ato sexual”, demonstrando a preocupação legal sobre a relutância da vítima diante do agressor. Med</w:t>
      </w:r>
      <w:r>
        <w:rPr>
          <w:sz w:val="24"/>
          <w:szCs w:val="24"/>
        </w:rPr>
        <w:t xml:space="preserve">iu</w:t>
      </w:r>
      <w:r>
        <w:rPr>
          <w:sz w:val="24"/>
          <w:szCs w:val="24"/>
        </w:rPr>
        <w:t xml:space="preserve">-se a resistência da jovem para avaliar a veracidade do crime, pois </w:t>
      </w:r>
      <w:r>
        <w:rPr>
          <w:sz w:val="24"/>
          <w:szCs w:val="24"/>
        </w:rPr>
        <w:t xml:space="preserve">era imprescindível que h</w:t>
      </w:r>
      <w:r>
        <w:rPr>
          <w:sz w:val="24"/>
          <w:szCs w:val="24"/>
        </w:rPr>
        <w:t xml:space="preserve">ouvesse</w:t>
      </w:r>
      <w:r>
        <w:rPr>
          <w:sz w:val="24"/>
          <w:szCs w:val="24"/>
        </w:rPr>
        <w:t xml:space="preserve"> resistência da vítima</w:t>
      </w:r>
      <w:r>
        <w:rPr>
          <w:sz w:val="24"/>
          <w:szCs w:val="24"/>
        </w:rPr>
        <w:t xml:space="preserve">. Mesmo que tal aspecto não conste na legislação naquele momento, nota-se a conservação de uma tradição legislativa, herdada de constituições anteriores. O</w:t>
      </w:r>
      <w:r>
        <w:rPr>
          <w:sz w:val="24"/>
          <w:szCs w:val="24"/>
        </w:rPr>
        <w:t xml:space="preserve"> promotor afirmou a boa moral da vítima devido aos depoimentos, concluindo que mesmo que ficasse comprovado seu comportamento reprovável, “ainda assim, estaria o réu sujeito às sanções do artigo 213 do Código Penal, [...]</w:t>
      </w:r>
      <w:r>
        <w:rPr>
          <w:sz w:val="24"/>
          <w:szCs w:val="24"/>
        </w:rPr>
        <w:t xml:space="preserve"> eis que até mesmo uma prostituta pode ser vítima de estupro, não se lhe podendo negar o direito de dispor livremente</w:t>
      </w:r>
      <w:r>
        <w:rPr>
          <w:sz w:val="24"/>
          <w:szCs w:val="24"/>
        </w:rPr>
        <w:t xml:space="preserve"> de seu corpo.” [fls. 58]. </w:t>
      </w:r>
      <w:r>
        <w:rPr>
          <w:sz w:val="24"/>
          <w:szCs w:val="24"/>
        </w:rPr>
        <w:t xml:space="preserve">Em sua fala, o promotor acion</w:t>
      </w:r>
      <w:r>
        <w:rPr>
          <w:sz w:val="24"/>
          <w:szCs w:val="24"/>
        </w:rPr>
        <w:t xml:space="preserve">ou</w:t>
      </w:r>
      <w:r>
        <w:rPr>
          <w:sz w:val="24"/>
          <w:szCs w:val="24"/>
        </w:rPr>
        <w:t xml:space="preserve"> o direito </w:t>
      </w:r>
      <w:r>
        <w:rPr>
          <w:sz w:val="24"/>
          <w:szCs w:val="24"/>
        </w:rPr>
        <w:t xml:space="preserve">feminino ao próprio</w:t>
      </w:r>
      <w:r>
        <w:rPr>
          <w:sz w:val="24"/>
          <w:szCs w:val="24"/>
        </w:rPr>
        <w:t xml:space="preserve"> corpo, seguindo</w:t>
      </w:r>
      <w:r>
        <w:rPr>
          <w:sz w:val="24"/>
          <w:szCs w:val="24"/>
        </w:rPr>
        <w:t xml:space="preserve"> </w:t>
      </w:r>
      <w:r>
        <w:rPr>
          <w:sz w:val="24"/>
          <w:szCs w:val="24"/>
        </w:rPr>
        <w:t xml:space="preserve">a </w:t>
      </w:r>
      <w:r>
        <w:rPr>
          <w:sz w:val="24"/>
          <w:szCs w:val="24"/>
        </w:rPr>
        <w:t xml:space="preserve">legislação, mesmo que socialmente</w:t>
      </w:r>
      <w:r>
        <w:rPr>
          <w:sz w:val="24"/>
          <w:szCs w:val="24"/>
        </w:rPr>
        <w:t xml:space="preserve"> fosse </w:t>
      </w:r>
      <w:r>
        <w:rPr>
          <w:sz w:val="24"/>
          <w:szCs w:val="24"/>
        </w:rPr>
        <w:t xml:space="preserve">constante </w:t>
      </w:r>
      <w:r>
        <w:rPr>
          <w:sz w:val="24"/>
          <w:szCs w:val="24"/>
        </w:rPr>
        <w:t xml:space="preserve">a </w:t>
      </w:r>
      <w:r>
        <w:rPr>
          <w:sz w:val="24"/>
          <w:szCs w:val="24"/>
        </w:rPr>
        <w:t xml:space="preserve">restrição </w:t>
      </w:r>
      <w:r>
        <w:rPr>
          <w:sz w:val="24"/>
          <w:szCs w:val="24"/>
        </w:rPr>
        <w:t xml:space="preserve">à</w:t>
      </w:r>
      <w:r>
        <w:rPr>
          <w:sz w:val="24"/>
          <w:szCs w:val="24"/>
        </w:rPr>
        <w:t xml:space="preserve"> sexualidade </w:t>
      </w:r>
      <w:r>
        <w:rPr>
          <w:sz w:val="24"/>
          <w:szCs w:val="24"/>
        </w:rPr>
        <w:t xml:space="preserve">feminin</w:t>
      </w:r>
      <w:r>
        <w:rPr>
          <w:sz w:val="24"/>
          <w:szCs w:val="24"/>
        </w:rPr>
        <w:t xml:space="preserve">a</w:t>
      </w:r>
      <w:r>
        <w:rPr>
          <w:rStyle w:val="1103"/>
          <w:sz w:val="24"/>
          <w:szCs w:val="24"/>
        </w:rPr>
        <w:footnoteReference w:id="22"/>
      </w:r>
      <w:r>
        <w:rPr>
          <w:sz w:val="24"/>
          <w:szCs w:val="24"/>
        </w:rPr>
        <w:t xml:space="preserve">.</w:t>
      </w:r>
      <w:r/>
    </w:p>
    <w:p>
      <w:pPr>
        <w:ind w:firstLine="709"/>
        <w:jc w:val="both"/>
        <w:spacing w:lineRule="auto" w:line="360"/>
        <w:rPr>
          <w:sz w:val="24"/>
          <w:szCs w:val="24"/>
          <w:highlight w:val="yellow"/>
        </w:rPr>
      </w:pPr>
      <w:r>
        <w:rPr>
          <w:sz w:val="24"/>
          <w:szCs w:val="24"/>
        </w:rPr>
      </w:r>
      <w:r>
        <w:rPr>
          <w:sz w:val="24"/>
          <w:szCs w:val="24"/>
        </w:rPr>
        <w:t xml:space="preserve"> A legitimidade do comportamento masculino reafirmado através da instituição familiar é notória, e tal aspecto é evidente no </w:t>
      </w:r>
      <w:r>
        <w:rPr>
          <w:sz w:val="24"/>
          <w:szCs w:val="24"/>
        </w:rPr>
        <w:t xml:space="preserve">processo  285</w:t>
      </w:r>
      <w:r>
        <w:rPr>
          <w:sz w:val="24"/>
          <w:szCs w:val="24"/>
        </w:rPr>
        <w:t xml:space="preserve">/1975</w:t>
      </w:r>
      <w:r>
        <w:rPr>
          <w:rStyle w:val="1103"/>
          <w:sz w:val="24"/>
          <w:szCs w:val="24"/>
        </w:rPr>
        <w:footnoteReference w:id="23"/>
      </w:r>
      <w:r>
        <w:rPr>
          <w:sz w:val="24"/>
          <w:szCs w:val="24"/>
        </w:rPr>
        <w:t xml:space="preserve">. N</w:t>
      </w:r>
      <w:r>
        <w:rPr>
          <w:sz w:val="24"/>
          <w:szCs w:val="24"/>
        </w:rPr>
        <w:t xml:space="preserve">este, Leila (14 anos) teria sido </w:t>
      </w:r>
      <w:r>
        <w:rPr>
          <w:sz w:val="24"/>
          <w:szCs w:val="24"/>
        </w:rPr>
        <w:t xml:space="preserve">atraída para a casa do réu, local onde o mesmo supostamente a despiu, ameaçando-a com uma faca, e forçosamente manteve relações sexuais com a jovem, a engravidando. Ao longo desse caso, revela-se a insistência em detalhes n</w:t>
      </w:r>
      <w:r>
        <w:rPr>
          <w:sz w:val="24"/>
          <w:szCs w:val="24"/>
        </w:rPr>
        <w:t xml:space="preserve">o depoimento da vítima relativos a posições</w:t>
      </w:r>
      <w:r>
        <w:rPr>
          <w:rStyle w:val="1103"/>
          <w:sz w:val="24"/>
          <w:szCs w:val="24"/>
        </w:rPr>
        <w:footnoteReference w:id="24"/>
      </w:r>
      <w:r>
        <w:rPr>
          <w:sz w:val="24"/>
          <w:szCs w:val="24"/>
        </w:rPr>
        <w:t xml:space="preserve">. Ele se estende por anos, sendo somente em 1977 a audiência de Leila. A defesa aponta Airton como “humano honesto, pai de família, trabalhador </w:t>
      </w:r>
      <w:r>
        <w:rPr>
          <w:sz w:val="24"/>
          <w:szCs w:val="24"/>
        </w:rPr>
        <w:t xml:space="preserve">conscio</w:t>
      </w:r>
      <w:r>
        <w:rPr>
          <w:sz w:val="24"/>
          <w:szCs w:val="24"/>
        </w:rPr>
        <w:t xml:space="preserve"> de seus deveres, de condu</w:t>
      </w:r>
      <w:r>
        <w:rPr>
          <w:sz w:val="24"/>
          <w:szCs w:val="24"/>
        </w:rPr>
        <w:t xml:space="preserve">ta e moral ilibada” [fls. 49], insistindo na mornatividade </w:t>
      </w:r>
      <w:r>
        <w:rPr>
          <w:sz w:val="24"/>
          <w:szCs w:val="24"/>
        </w:rPr>
        <w:t xml:space="preserve">que, naquele momento, o atribuiria credibilidade, uma vez se tratava da palavra do réu contra a da vítima. Assim, o juiz o absolveu devido as discrepâncias nos depoimentos de Leila, alegando </w:t>
      </w:r>
      <w:r>
        <w:rPr>
          <w:sz w:val="24"/>
          <w:szCs w:val="24"/>
        </w:rPr>
        <w:t xml:space="preserve">falta de provas suficientemente fortes para a condenação.</w:t>
      </w:r>
      <w:r/>
    </w:p>
    <w:p>
      <w:pPr>
        <w:pStyle w:val="1117"/>
        <w:ind w:firstLine="709"/>
        <w:jc w:val="both"/>
        <w:spacing w:lineRule="auto" w:line="360"/>
        <w:rPr>
          <w:sz w:val="24"/>
          <w:szCs w:val="24"/>
        </w:rPr>
      </w:pPr>
      <w:r>
        <w:rPr>
          <w:sz w:val="24"/>
          <w:szCs w:val="24"/>
        </w:rPr>
      </w:r>
      <w:r/>
    </w:p>
    <w:p>
      <w:pPr>
        <w:pStyle w:val="1117"/>
        <w:jc w:val="both"/>
        <w:spacing w:lineRule="auto" w:line="360"/>
        <w:rPr>
          <w:color w:val="FF0000"/>
          <w:sz w:val="24"/>
          <w:szCs w:val="24"/>
        </w:rPr>
      </w:pPr>
      <w:r>
        <w:rPr>
          <w:b/>
          <w:sz w:val="24"/>
          <w:szCs w:val="24"/>
        </w:rPr>
        <w:t xml:space="preserve">CON</w:t>
      </w:r>
      <w:r>
        <w:rPr>
          <w:b/>
          <w:sz w:val="24"/>
          <w:szCs w:val="24"/>
        </w:rPr>
        <w:t xml:space="preserve">S</w:t>
      </w:r>
      <w:r>
        <w:rPr>
          <w:b/>
          <w:sz w:val="24"/>
          <w:szCs w:val="24"/>
        </w:rPr>
        <w:t xml:space="preserve">IDERAÇÕES FINAIS</w:t>
      </w:r>
      <w:r>
        <w:rPr>
          <w:b/>
          <w:sz w:val="24"/>
          <w:szCs w:val="24"/>
        </w:rPr>
        <w:t xml:space="preserve"> </w:t>
      </w:r>
      <w:r>
        <w:rPr>
          <w:color w:val="FF0000"/>
          <w:sz w:val="24"/>
          <w:szCs w:val="24"/>
        </w:rPr>
      </w:r>
      <w:r/>
    </w:p>
    <w:p>
      <w:pPr>
        <w:pStyle w:val="1117"/>
        <w:ind w:firstLine="709"/>
        <w:jc w:val="both"/>
        <w:spacing w:lineRule="auto" w:line="360"/>
        <w:rPr>
          <w:sz w:val="24"/>
          <w:szCs w:val="24"/>
        </w:rPr>
      </w:pPr>
      <w:r>
        <w:rPr>
          <w:sz w:val="24"/>
          <w:szCs w:val="24"/>
        </w:rPr>
      </w:r>
      <w:r/>
    </w:p>
    <w:p>
      <w:pPr>
        <w:pStyle w:val="1117"/>
        <w:ind w:firstLine="709"/>
        <w:jc w:val="both"/>
        <w:spacing w:lineRule="auto" w:line="360"/>
        <w:rPr>
          <w:sz w:val="24"/>
          <w:szCs w:val="24"/>
        </w:rPr>
      </w:pPr>
      <w:r>
        <w:rPr>
          <w:sz w:val="24"/>
          <w:szCs w:val="24"/>
        </w:rPr>
      </w:r>
      <w:r>
        <w:rPr>
          <w:sz w:val="24"/>
          <w:szCs w:val="24"/>
        </w:rPr>
        <w:t xml:space="preserve">Observando os documentos marcados pela ação do tempo, sob a intervenção de todo o respaldo teórico-metodológico que nos guia, não se demora a identificar as presenças e aus</w:t>
      </w:r>
      <w:r>
        <w:rPr>
          <w:sz w:val="24"/>
          <w:szCs w:val="24"/>
        </w:rPr>
        <w:t xml:space="preserve">ências</w:t>
      </w:r>
      <w:r>
        <w:rPr>
          <w:sz w:val="24"/>
          <w:szCs w:val="24"/>
        </w:rPr>
        <w:t xml:space="preserve">. História infames são contadas em um espaço que, senão este, não haveria outro que lhe recebesse; sem pretensão alguma de serem lidos anos após. Ali eram registradas as mazelas de sujeitos em sua maioria subalternos, cuja vi</w:t>
      </w:r>
      <w:r>
        <w:rPr>
          <w:sz w:val="24"/>
          <w:szCs w:val="24"/>
        </w:rPr>
        <w:t xml:space="preserve">da com grande facilidade deslizava do privado para o público. O estupro provocava incomodo social ao macular a honra, enquanto que o corpo violado era quase posto em segundo plano. A demonstração do poder masculino convertida não somente no</w:t>
      </w:r>
      <w:r>
        <w:rPr>
          <w:sz w:val="24"/>
          <w:szCs w:val="24"/>
        </w:rPr>
        <w:t xml:space="preserve"> ato físico, mas sim em um longo processo onde é colocado em pauta a honra violada e sua guardiã (agredida), através do qual busca-se legitimar a violência cometida, conferindo a vítima a culpa, visto que ela seria suscetível ao consentimento. Ou a negação</w:t>
      </w:r>
      <w:r>
        <w:rPr>
          <w:sz w:val="24"/>
          <w:szCs w:val="24"/>
        </w:rPr>
        <w:t xml:space="preserve"> sustentada ainda no bom proceder do agressor em outros aspectos da vida social. Tudo convertido em um jogo de poder assimétrico. Enquanto que o papel destinado aos homens permite</w:t>
      </w:r>
      <w:bookmarkStart w:id="3" w:name="_GoBack"/>
      <w:r/>
      <w:bookmarkEnd w:id="3"/>
      <w:r>
        <w:rPr>
          <w:sz w:val="24"/>
          <w:szCs w:val="24"/>
        </w:rPr>
        <w:t xml:space="preserve"> que, a exemplo, frequentem as ruas noturnas, às mulheres é interditado e</w:t>
      </w:r>
      <w:r>
        <w:rPr>
          <w:sz w:val="24"/>
          <w:szCs w:val="24"/>
        </w:rPr>
        <w:t xml:space="preserve">sse direito. Uma ameaça à liberdade, a sombra desse crime encena a dominação masculina. A raridade com a qual um acusado de estupro é condenado demonstra a dificuldade que há envolta da configuração do crime. Durante todo o processo questiona-se a agredida</w:t>
      </w:r>
      <w:r>
        <w:rPr>
          <w:sz w:val="24"/>
          <w:szCs w:val="24"/>
        </w:rPr>
        <w:t xml:space="preserve"> e sua conduta, sobre namoros, sobre sua família e os preceitos desta; investiga sua virgindade; há uma busca por falhas em suas versões; informações roubadas e levadas a julgamento.</w:t>
      </w:r>
      <w:r>
        <w:rPr>
          <w:sz w:val="24"/>
          <w:szCs w:val="24"/>
        </w:rPr>
        <w:t xml:space="preserve"> </w:t>
      </w:r>
      <w:r>
        <w:rPr>
          <w:sz w:val="24"/>
          <w:szCs w:val="24"/>
        </w:rPr>
      </w:r>
      <w:r/>
    </w:p>
    <w:p>
      <w:pPr>
        <w:pStyle w:val="1117"/>
        <w:ind w:firstLine="709"/>
        <w:jc w:val="both"/>
        <w:spacing w:lineRule="auto" w:line="360"/>
        <w:rPr>
          <w:sz w:val="24"/>
          <w:szCs w:val="24"/>
        </w:rPr>
      </w:pPr>
      <w:r>
        <w:rPr>
          <w:sz w:val="24"/>
          <w:szCs w:val="24"/>
        </w:rPr>
      </w:r>
      <w:r/>
    </w:p>
    <w:p>
      <w:pPr>
        <w:pStyle w:val="1117"/>
        <w:jc w:val="both"/>
        <w:spacing w:lineRule="auto" w:line="360"/>
        <w:rPr>
          <w:color w:val="FF0000"/>
          <w:sz w:val="24"/>
          <w:szCs w:val="24"/>
        </w:rPr>
      </w:pPr>
      <w:r>
        <w:rPr>
          <w:b/>
          <w:sz w:val="24"/>
          <w:szCs w:val="24"/>
        </w:rPr>
        <w:t xml:space="preserve">REFERÊNCIAS </w:t>
      </w:r>
      <w:r>
        <w:rPr>
          <w:b/>
          <w:sz w:val="24"/>
          <w:szCs w:val="24"/>
        </w:rPr>
        <w:t xml:space="preserve">BIBLIOGRÁFICAS </w:t>
      </w:r>
      <w:r>
        <w:rPr>
          <w:color w:val="FF0000"/>
          <w:sz w:val="24"/>
          <w:szCs w:val="24"/>
        </w:rPr>
      </w:r>
      <w:r/>
    </w:p>
    <w:p>
      <w:pPr>
        <w:pStyle w:val="1117"/>
        <w:rPr>
          <w:b/>
          <w:color w:val="0000FF"/>
          <w:sz w:val="24"/>
          <w:szCs w:val="24"/>
        </w:rPr>
      </w:pPr>
      <w:r>
        <w:rPr>
          <w:b/>
          <w:color w:val="0000FF"/>
          <w:sz w:val="24"/>
          <w:szCs w:val="24"/>
        </w:rPr>
      </w:r>
      <w:r/>
    </w:p>
    <w:p>
      <w:pPr>
        <w:pStyle w:val="1117"/>
      </w:pPr>
      <w:r>
        <w:rPr>
          <w:sz w:val="24"/>
          <w:szCs w:val="24"/>
        </w:rPr>
        <w:t xml:space="preserve">ARENDT, Hannah. Sobre a violência. Rio de Janeiro: Relume Dumará, 1994.</w:t>
      </w:r>
      <w:r>
        <w:rPr>
          <w:sz w:val="24"/>
          <w:szCs w:val="24"/>
        </w:rPr>
      </w:r>
      <w:r/>
    </w:p>
    <w:p>
      <w:pPr>
        <w:pStyle w:val="1117"/>
      </w:pPr>
      <w:r>
        <w:rPr>
          <w:sz w:val="24"/>
          <w:szCs w:val="24"/>
        </w:rPr>
      </w:r>
      <w:r>
        <w:rPr>
          <w:sz w:val="24"/>
          <w:szCs w:val="24"/>
        </w:rPr>
      </w:r>
      <w:r/>
    </w:p>
    <w:p>
      <w:pPr>
        <w:pStyle w:val="1117"/>
      </w:pPr>
      <w:r>
        <w:rPr>
          <w:sz w:val="24"/>
          <w:szCs w:val="24"/>
        </w:rPr>
        <w:t xml:space="preserve">BROWNMILLER, Susan. Against Our Will: Men, Women and Rape. New York: Fawcett Columbine, 1975.</w:t>
      </w:r>
      <w:r>
        <w:rPr>
          <w:sz w:val="24"/>
          <w:szCs w:val="24"/>
        </w:rPr>
      </w:r>
      <w:r/>
    </w:p>
    <w:p>
      <w:pPr>
        <w:pStyle w:val="1117"/>
      </w:pPr>
      <w:r>
        <w:rPr>
          <w:sz w:val="24"/>
          <w:szCs w:val="24"/>
        </w:rPr>
      </w:r>
      <w:r>
        <w:rPr>
          <w:sz w:val="24"/>
          <w:szCs w:val="24"/>
        </w:rPr>
      </w:r>
      <w:r/>
    </w:p>
    <w:p>
      <w:pPr>
        <w:pStyle w:val="1117"/>
      </w:pPr>
      <w:r>
        <w:rPr>
          <w:sz w:val="24"/>
          <w:szCs w:val="24"/>
        </w:rPr>
        <w:t xml:space="preserve">CASTRO, Viveiros de. Os delictos contra a honra da mulher. Rio de Janeiro: João Lopes da Cunha, 1897.</w:t>
      </w:r>
      <w:r>
        <w:rPr>
          <w:sz w:val="24"/>
          <w:szCs w:val="24"/>
        </w:rPr>
      </w:r>
      <w:r/>
    </w:p>
    <w:p>
      <w:pPr>
        <w:pStyle w:val="1117"/>
      </w:pPr>
      <w:r>
        <w:rPr>
          <w:sz w:val="24"/>
          <w:szCs w:val="24"/>
        </w:rPr>
      </w:r>
      <w:r>
        <w:rPr>
          <w:sz w:val="24"/>
          <w:szCs w:val="24"/>
        </w:rPr>
      </w:r>
      <w:r/>
    </w:p>
    <w:p>
      <w:pPr>
        <w:pStyle w:val="1117"/>
      </w:pPr>
      <w:r>
        <w:rPr>
          <w:sz w:val="24"/>
          <w:szCs w:val="24"/>
        </w:rPr>
        <w:t xml:space="preserve">CORRÊA, Marisa. Morte em família: representações Jurídicas de Papéis Sexuais. Rio de Janeiro: Edições Graal, 1983.</w:t>
      </w:r>
      <w:r>
        <w:rPr>
          <w:sz w:val="24"/>
          <w:szCs w:val="24"/>
        </w:rPr>
      </w:r>
      <w:r/>
    </w:p>
    <w:p>
      <w:pPr>
        <w:pStyle w:val="1117"/>
      </w:pPr>
      <w:r>
        <w:rPr>
          <w:sz w:val="24"/>
          <w:szCs w:val="24"/>
        </w:rPr>
      </w:r>
      <w:r>
        <w:rPr>
          <w:sz w:val="24"/>
          <w:szCs w:val="24"/>
        </w:rPr>
      </w:r>
      <w:r/>
    </w:p>
    <w:p>
      <w:pPr>
        <w:pStyle w:val="1117"/>
      </w:pPr>
      <w:r>
        <w:rPr>
          <w:sz w:val="24"/>
          <w:szCs w:val="24"/>
        </w:rPr>
        <w:t xml:space="preserve">DE MARCH, Kety C..Corpos subjugados: estupro como problemática histórica. Oficina do Historiador, v. 10, n. 1, p. 97-116, 2018.</w:t>
      </w:r>
      <w:r>
        <w:rPr>
          <w:sz w:val="24"/>
          <w:szCs w:val="24"/>
        </w:rPr>
      </w:r>
      <w:r/>
    </w:p>
    <w:p>
      <w:pPr>
        <w:pStyle w:val="1117"/>
      </w:pPr>
      <w:r>
        <w:rPr>
          <w:sz w:val="24"/>
          <w:szCs w:val="24"/>
        </w:rPr>
      </w:r>
      <w:r>
        <w:rPr>
          <w:sz w:val="24"/>
          <w:szCs w:val="24"/>
        </w:rPr>
      </w:r>
      <w:r/>
    </w:p>
    <w:p>
      <w:pPr>
        <w:pStyle w:val="1117"/>
      </w:pPr>
      <w:r>
        <w:rPr>
          <w:sz w:val="24"/>
          <w:szCs w:val="24"/>
        </w:rPr>
        <w:t xml:space="preserve">FARGE, Arlette. Da violência. In:___. (org.). Lugares para a história. Belo Horizonte: Autêntica, p. 25-39, 2011.</w:t>
      </w:r>
      <w:r>
        <w:rPr>
          <w:sz w:val="24"/>
          <w:szCs w:val="24"/>
        </w:rPr>
      </w:r>
      <w:r/>
    </w:p>
    <w:p>
      <w:pPr>
        <w:pStyle w:val="1117"/>
      </w:pPr>
      <w:r>
        <w:rPr>
          <w:sz w:val="24"/>
          <w:szCs w:val="24"/>
        </w:rPr>
      </w:r>
      <w:r>
        <w:rPr>
          <w:sz w:val="24"/>
          <w:szCs w:val="24"/>
        </w:rPr>
      </w:r>
      <w:r/>
    </w:p>
    <w:p>
      <w:pPr>
        <w:pStyle w:val="1117"/>
      </w:pPr>
      <w:r>
        <w:rPr>
          <w:sz w:val="24"/>
          <w:szCs w:val="24"/>
        </w:rPr>
        <w:t xml:space="preserve">FAUSTO, Boris. Crimes Sexuais. In: ___. Crime e Cotidiano. São Paulo: brasiliense, p. 173-225, 1984</w:t>
      </w:r>
      <w:r>
        <w:rPr>
          <w:sz w:val="24"/>
          <w:szCs w:val="24"/>
        </w:rPr>
      </w:r>
      <w:r/>
    </w:p>
    <w:p>
      <w:pPr>
        <w:pStyle w:val="1117"/>
      </w:pPr>
      <w:r>
        <w:rPr>
          <w:sz w:val="24"/>
          <w:szCs w:val="24"/>
        </w:rPr>
      </w:r>
      <w:r>
        <w:rPr>
          <w:sz w:val="24"/>
          <w:szCs w:val="24"/>
        </w:rPr>
      </w:r>
      <w:r/>
    </w:p>
    <w:p>
      <w:pPr>
        <w:pStyle w:val="1117"/>
      </w:pPr>
      <w:r>
        <w:rPr>
          <w:sz w:val="24"/>
          <w:szCs w:val="24"/>
        </w:rPr>
        <w:t xml:space="preserve">FOUCAULT, Michel. A verdade e as formas jurídicas. Rio de Janeiro: NAU Editora, 2002.</w:t>
      </w:r>
      <w:r>
        <w:rPr>
          <w:sz w:val="24"/>
          <w:szCs w:val="24"/>
        </w:rPr>
      </w:r>
      <w:r/>
    </w:p>
    <w:p>
      <w:pPr>
        <w:pStyle w:val="1117"/>
      </w:pPr>
      <w:r>
        <w:rPr>
          <w:sz w:val="24"/>
          <w:szCs w:val="24"/>
        </w:rPr>
      </w:r>
      <w:r>
        <w:rPr>
          <w:sz w:val="24"/>
          <w:szCs w:val="24"/>
        </w:rPr>
      </w:r>
      <w:r/>
    </w:p>
    <w:p>
      <w:pPr>
        <w:pStyle w:val="1117"/>
      </w:pPr>
      <w:r>
        <w:rPr>
          <w:sz w:val="24"/>
          <w:szCs w:val="24"/>
        </w:rPr>
        <w:t xml:space="preserve">FOUCAULT, Michel. A vida dos homens infames. In:___ O que é um autor?. Lisboa: Passagens,</w:t>
      </w:r>
      <w:r>
        <w:rPr>
          <w:sz w:val="24"/>
          <w:szCs w:val="24"/>
        </w:rPr>
        <w:t xml:space="preserve"> p. 89-128, 1992.</w:t>
      </w:r>
      <w:r>
        <w:rPr>
          <w:sz w:val="24"/>
          <w:szCs w:val="24"/>
        </w:rPr>
      </w:r>
      <w:r/>
    </w:p>
    <w:p>
      <w:pPr>
        <w:pStyle w:val="1117"/>
      </w:pPr>
      <w:r>
        <w:rPr>
          <w:sz w:val="24"/>
          <w:szCs w:val="24"/>
        </w:rPr>
      </w:r>
      <w:r>
        <w:rPr>
          <w:sz w:val="24"/>
          <w:szCs w:val="24"/>
        </w:rPr>
      </w:r>
      <w:r/>
    </w:p>
    <w:p>
      <w:pPr>
        <w:pStyle w:val="1117"/>
      </w:pPr>
      <w:r>
        <w:rPr>
          <w:sz w:val="24"/>
          <w:szCs w:val="24"/>
        </w:rPr>
        <w:t xml:space="preserve">GRINBERG, Keila. A História nos porões dos arquivos judiciários. In: PINSKY, Carla; LUCA, Tania (org.). O historiador e suas fontes. Editora Contexto, p. 119-140, 2009.</w:t>
      </w:r>
      <w:r>
        <w:rPr>
          <w:sz w:val="24"/>
          <w:szCs w:val="24"/>
        </w:rPr>
      </w:r>
      <w:r/>
    </w:p>
    <w:p>
      <w:pPr>
        <w:pStyle w:val="1117"/>
      </w:pPr>
      <w:r>
        <w:rPr>
          <w:sz w:val="24"/>
          <w:szCs w:val="24"/>
        </w:rPr>
      </w:r>
      <w:r>
        <w:rPr>
          <w:sz w:val="24"/>
          <w:szCs w:val="24"/>
        </w:rPr>
      </w:r>
      <w:r/>
    </w:p>
    <w:p>
      <w:pPr>
        <w:pStyle w:val="1117"/>
      </w:pPr>
      <w:r>
        <w:rPr>
          <w:sz w:val="24"/>
          <w:szCs w:val="24"/>
        </w:rPr>
        <w:t xml:space="preserve">HARRISON, Ross. Estupro - Estudo de um Caso em Filosofia Política. In: PORTER, Roy; TOMASELLI, Sylvanna (org). Estupro. Rio de Janeiro: Rio Fundo, p. 53-66, 1992.</w:t>
      </w:r>
      <w:r>
        <w:rPr>
          <w:sz w:val="24"/>
          <w:szCs w:val="24"/>
        </w:rPr>
      </w:r>
      <w:r/>
    </w:p>
    <w:p>
      <w:pPr>
        <w:pStyle w:val="1117"/>
      </w:pPr>
      <w:r>
        <w:rPr>
          <w:sz w:val="24"/>
          <w:szCs w:val="24"/>
        </w:rPr>
      </w:r>
      <w:r>
        <w:rPr>
          <w:sz w:val="24"/>
          <w:szCs w:val="24"/>
        </w:rPr>
      </w:r>
      <w:r/>
    </w:p>
    <w:p>
      <w:pPr>
        <w:pStyle w:val="1117"/>
      </w:pPr>
      <w:r>
        <w:rPr>
          <w:sz w:val="24"/>
          <w:szCs w:val="24"/>
        </w:rPr>
        <w:t xml:space="preserve">MESTIERI, João. Do delito de estupro. São Paulo: Ed. Revista dos Tribunais, 1982.</w:t>
      </w:r>
      <w:r>
        <w:rPr>
          <w:sz w:val="24"/>
          <w:szCs w:val="24"/>
        </w:rPr>
      </w:r>
      <w:r/>
    </w:p>
    <w:p>
      <w:pPr>
        <w:pStyle w:val="1117"/>
      </w:pPr>
      <w:r>
        <w:rPr>
          <w:sz w:val="24"/>
          <w:szCs w:val="24"/>
        </w:rPr>
      </w:r>
      <w:r>
        <w:rPr>
          <w:sz w:val="24"/>
          <w:szCs w:val="24"/>
        </w:rPr>
      </w:r>
      <w:r/>
    </w:p>
    <w:p>
      <w:pPr>
        <w:pStyle w:val="1117"/>
      </w:pPr>
      <w:r>
        <w:rPr>
          <w:sz w:val="24"/>
          <w:szCs w:val="24"/>
        </w:rPr>
        <w:t xml:space="preserve">NORONHA, Edgard M.. Crimes contra os costumes. São Paulo: Saraiva, 1943.</w:t>
      </w:r>
      <w:r>
        <w:rPr>
          <w:sz w:val="24"/>
          <w:szCs w:val="24"/>
        </w:rPr>
      </w:r>
      <w:r/>
    </w:p>
    <w:p>
      <w:pPr>
        <w:pStyle w:val="1117"/>
      </w:pPr>
      <w:r>
        <w:rPr>
          <w:sz w:val="24"/>
          <w:szCs w:val="24"/>
        </w:rPr>
      </w:r>
      <w:r>
        <w:rPr>
          <w:sz w:val="24"/>
          <w:szCs w:val="24"/>
        </w:rPr>
      </w:r>
      <w:r/>
    </w:p>
    <w:p>
      <w:pPr>
        <w:pStyle w:val="1117"/>
      </w:pPr>
      <w:r>
        <w:rPr>
          <w:sz w:val="24"/>
          <w:szCs w:val="24"/>
        </w:rPr>
        <w:t xml:space="preserve">PORTER, Roy. Estupro - Será que ele tem um significado Histórico?. In: PORTER, Roy; TOMASELLI, Sylvanna (org). Estupro. Rio de Janeiro: Rio Fundo, p. 207-226, 1992.</w:t>
      </w:r>
      <w:r>
        <w:rPr>
          <w:sz w:val="24"/>
          <w:szCs w:val="24"/>
        </w:rPr>
      </w:r>
      <w:r/>
    </w:p>
    <w:p>
      <w:pPr>
        <w:pStyle w:val="1117"/>
      </w:pPr>
      <w:r>
        <w:rPr>
          <w:sz w:val="24"/>
          <w:szCs w:val="24"/>
        </w:rPr>
      </w:r>
      <w:r>
        <w:rPr>
          <w:sz w:val="24"/>
          <w:szCs w:val="24"/>
        </w:rPr>
      </w:r>
      <w:r/>
    </w:p>
    <w:p>
      <w:pPr>
        <w:pStyle w:val="1117"/>
      </w:pPr>
      <w:r>
        <w:rPr>
          <w:sz w:val="24"/>
          <w:szCs w:val="24"/>
        </w:rPr>
        <w:t xml:space="preserve">SCOTT, Joan. Gênero: uma categoria útil de análise histórica. Educação &amp; Realidade, Porto Alegre, v. 20, n. 2, p. 71-99, 1995.</w:t>
      </w:r>
      <w:r>
        <w:rPr>
          <w:sz w:val="24"/>
          <w:szCs w:val="24"/>
        </w:rPr>
      </w:r>
      <w:r/>
    </w:p>
    <w:p>
      <w:pPr>
        <w:pStyle w:val="1117"/>
      </w:pPr>
      <w:r>
        <w:rPr>
          <w:sz w:val="24"/>
          <w:szCs w:val="24"/>
        </w:rPr>
      </w:r>
      <w:r>
        <w:rPr>
          <w:sz w:val="24"/>
          <w:szCs w:val="24"/>
        </w:rPr>
      </w:r>
      <w:r/>
    </w:p>
    <w:p>
      <w:pPr>
        <w:pStyle w:val="1117"/>
      </w:pPr>
      <w:r>
        <w:rPr>
          <w:sz w:val="24"/>
          <w:szCs w:val="24"/>
        </w:rPr>
        <w:t xml:space="preserve">TEMKIN, Jennifer. Mulheres, Estupro e Reforma Legal. In: PORTER, Roy; TOMASELLI, Sylvanna (org). Estupro. Rio de Janeiro: Rio Fundo, p. 31-52, 1992.</w:t>
      </w:r>
      <w:r>
        <w:rPr>
          <w:sz w:val="24"/>
          <w:szCs w:val="24"/>
        </w:rPr>
      </w:r>
      <w:r/>
    </w:p>
    <w:p>
      <w:pPr>
        <w:pStyle w:val="1117"/>
      </w:pPr>
      <w:r>
        <w:rPr>
          <w:sz w:val="24"/>
          <w:szCs w:val="24"/>
        </w:rPr>
      </w:r>
      <w:r>
        <w:rPr>
          <w:sz w:val="24"/>
          <w:szCs w:val="24"/>
        </w:rPr>
      </w:r>
      <w:r/>
    </w:p>
    <w:p>
      <w:pPr>
        <w:pStyle w:val="1117"/>
      </w:pPr>
      <w:r>
        <w:rPr>
          <w:sz w:val="24"/>
          <w:szCs w:val="24"/>
        </w:rPr>
        <w:t xml:space="preserve">VIGARELLO, Georges. História do Estupro: violência sexual nos séculos XVI-XX. Rio de Janeiro: Jorge Zahar Editor, 1998.</w:t>
      </w:r>
      <w:r>
        <w:rPr>
          <w:sz w:val="24"/>
          <w:szCs w:val="24"/>
        </w:rPr>
      </w:r>
      <w:r/>
    </w:p>
    <w:sectPr>
      <w:headerReference w:type="default" r:id="rId9"/>
      <w:headerReference w:type="even" r:id="rId10"/>
      <w:headerReference w:type="first" r:id="rId11"/>
      <w:footerReference w:type="default" r:id="rId12"/>
      <w:footerReference w:type="even" r:id="rId13"/>
      <w:footerReference w:type="first" r:id="rId14"/>
      <w:footnotePr/>
      <w:endnotePr/>
      <w:type w:val="continuous"/>
      <w:pgSz w:w="11906" w:h="16838" w:orient="portrait"/>
      <w:pgMar w:top="1701" w:right="1134" w:bottom="1134" w:left="1701" w:header="709" w:footer="601" w:gutter="0"/>
      <w:cols w:num="1" w:sep="0" w:space="720"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lineRule="auto" w:line="240" w:after="0"/>
      </w:pPr>
      <w:r>
        <w:separator/>
      </w:r>
      <w:r/>
    </w:p>
  </w:endnote>
  <w:endnote w:type="continuationSeparator" w:id="0">
    <w:p>
      <w:pPr>
        <w:spacing w:lineRule="auto" w:line="240" w:after="0"/>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font>
  <w:font w:name="Tahoma">
    <w:panose1 w:val="020B0604030504040204"/>
  </w:font>
  <w:font w:name="Calibri">
    <w:panose1 w:val="020F0502020204030204"/>
  </w:font>
  <w:font w:name="Cambria">
    <w:panose1 w:val="02040503050406030204"/>
  </w:font>
  <w:font w:name="Arial">
    <w:panose1 w:val="020B0604020202020204"/>
  </w:font>
  <w:font w:name="Times New Roman">
    <w:panose1 w:val="020206030504050203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139"/>
      <w:tabs>
        <w:tab w:val="clear" w:pos="8504" w:leader="none"/>
      </w:tabs>
      <w:rPr>
        <w:rFonts w:ascii="Arial" w:hAnsi="Arial"/>
        <w:sz w:val="20"/>
        <w:szCs w:val="20"/>
      </w:rPr>
    </w:pPr>
    <w:r>
      <mc:AlternateContent>
        <mc:Choice Requires="wpg">
          <w:drawing>
            <wp:anchor xmlns:wp="http://schemas.openxmlformats.org/drawingml/2006/wordprocessingDrawing" distT="0" distB="0" distL="114300" distR="114300" simplePos="0" relativeHeight="251658243" behindDoc="1" locked="0" layoutInCell="1" allowOverlap="1">
              <wp:simplePos x="0" y="0"/>
              <wp:positionH relativeFrom="column">
                <wp:posOffset>1073150</wp:posOffset>
              </wp:positionH>
              <wp:positionV relativeFrom="paragraph">
                <wp:posOffset>107950</wp:posOffset>
              </wp:positionV>
              <wp:extent cx="638175" cy="638175"/>
              <wp:effectExtent l="0" t="0" r="0" b="0"/>
              <wp:wrapNone/>
              <wp:docPr id="2" name="" hidden="false"/>
              <wp:cNvGraphicFramePr/>
              <a:graphic xmlns:a="http://schemas.openxmlformats.org/drawingml/2006/main">
                <a:graphicData uri="http://schemas.openxmlformats.org/drawingml/2006/picture">
                  <pic:pic xmlns:pic="http://schemas.openxmlformats.org/drawingml/2006/picture">
                    <pic:nvPicPr>
                      <pic:cNvPr id="5" name="" hidden="0"/>
                      <pic:cNvPicPr/>
                      <pic:nvPr isPhoto="0" userDrawn="0"/>
                    </pic:nvPicPr>
                    <pic:blipFill>
                      <a:blip r:embed="rId1"/>
                      <a:stretch/>
                    </pic:blipFill>
                    <pic:spPr bwMode="auto">
                      <a:xfrm>
                        <a:off x="0" y="0"/>
                        <a:ext cx="638175" cy="63817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mso-wrap-distance-left:9.0pt;mso-wrap-distance-top:0.0pt;mso-wrap-distance-right:9.0pt;mso-wrap-distance-bottom:0.0pt;z-index:-251658243;o:allowoverlap:true;o:allowincell:true;mso-position-horizontal-relative:text;margin-left:84.5pt;mso-position-horizontal:absolute;mso-position-vertical-relative:text;margin-top:8.5pt;mso-position-vertical:absolute;width:50.2pt;height:50.2pt;">
              <v:path textboxrect="0,0,0,0"/>
              <v:imagedata r:id="rId1" o:title=""/>
            </v:shape>
          </w:pict>
        </mc:Fallback>
      </mc:AlternateContent>
    </w:r>
    <w:r>
      <mc:AlternateContent>
        <mc:Choice Requires="wpg">
          <w:drawing>
            <wp:anchor xmlns:wp="http://schemas.openxmlformats.org/drawingml/2006/wordprocessingDrawing" distT="0" distB="0" distL="114300" distR="114300" simplePos="0" relativeHeight="524288" behindDoc="0" locked="0" layoutInCell="1" allowOverlap="1">
              <wp:simplePos x="0" y="0"/>
              <wp:positionH relativeFrom="column">
                <wp:posOffset>1076325</wp:posOffset>
              </wp:positionH>
              <wp:positionV relativeFrom="paragraph">
                <wp:posOffset>3248025</wp:posOffset>
              </wp:positionV>
              <wp:extent cx="1647190" cy="704850"/>
              <wp:effectExtent l="0" t="0" r="0" b="0"/>
              <wp:wrapNone/>
              <wp:docPr id="3" name="" hidden="false"/>
              <wp:cNvGraphicFramePr/>
              <a:graphic xmlns:a="http://schemas.openxmlformats.org/drawingml/2006/main">
                <a:graphicData uri="http://schemas.openxmlformats.org/drawingml/2006/picture">
                  <pic:pic xmlns:pic="http://schemas.openxmlformats.org/drawingml/2006/picture">
                    <pic:nvPicPr>
                      <pic:cNvPr id="6" name="" hidden="0"/>
                      <pic:cNvPicPr/>
                      <pic:nvPr isPhoto="0" userDrawn="0"/>
                    </pic:nvPicPr>
                    <pic:blipFill>
                      <a:blip r:embed="rId2"/>
                      <a:stretch/>
                    </pic:blipFill>
                    <pic:spPr bwMode="auto">
                      <a:xfrm>
                        <a:off x="0" y="0"/>
                        <a:ext cx="1647190" cy="704850"/>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mso-wrap-distance-left:9.0pt;mso-wrap-distance-top:0.0pt;mso-wrap-distance-right:9.0pt;mso-wrap-distance-bottom:0.0pt;z-index:524288;o:allowoverlap:true;o:allowincell:true;mso-position-horizontal-relative:text;margin-left:84.8pt;mso-position-horizontal:absolute;mso-position-vertical-relative:text;margin-top:255.8pt;mso-position-vertical:absolute;width:129.7pt;height:55.5pt;">
              <v:path textboxrect="0,0,0,0"/>
              <v:imagedata r:id="rId2" o:title=""/>
            </v:shape>
          </w:pict>
        </mc:Fallback>
      </mc:AlternateContent>
    </w:r>
    <w:r>
      <w:rPr>
        <w:rFonts w:ascii="Arial" w:hAnsi="Arial"/>
        <w:sz w:val="20"/>
        <w:szCs w:val="20"/>
      </w:rPr>
      <w:t xml:space="preserve">Realização</w:t>
    </w:r>
    <w:r>
      <w:rPr>
        <w:rFonts w:ascii="Arial" w:hAnsi="Arial"/>
        <w:b/>
        <w:bCs/>
        <w:sz w:val="20"/>
        <w:szCs w:val="20"/>
      </w:rPr>
      <w:t xml:space="preserve"> </w:t>
    </w:r>
    <w:r>
      <w:rPr>
        <w:rFonts w:ascii="Arial" w:hAnsi="Arial"/>
        <w:b/>
        <w:bCs/>
        <w:sz w:val="20"/>
        <w:szCs w:val="20"/>
      </w:rPr>
      <w:t xml:space="preserve">                              </w:t>
    </w:r>
    <w:r>
      <w:rPr>
        <w:rFonts w:ascii="Arial" w:hAnsi="Arial"/>
        <w:b/>
        <w:bCs/>
        <w:sz w:val="20"/>
        <w:szCs w:val="20"/>
      </w:rPr>
      <w:t xml:space="preserve">  </w:t>
    </w:r>
    <w:r>
      <w:rPr>
        <w:rFonts w:ascii="Arial" w:hAnsi="Arial"/>
        <w:b/>
        <w:bCs/>
        <w:sz w:val="20"/>
        <w:szCs w:val="20"/>
      </w:rPr>
      <w:t xml:space="preserve">           </w:t>
    </w:r>
    <w:r>
      <w:rPr>
        <w:rFonts w:ascii="Arial" w:hAnsi="Arial"/>
        <w:b/>
        <w:bCs/>
        <w:sz w:val="20"/>
        <w:szCs w:val="20"/>
      </w:rPr>
      <w:t xml:space="preserve">             </w:t>
    </w:r>
    <w:r>
      <w:rPr>
        <w:rFonts w:ascii="Arial" w:hAnsi="Arial"/>
        <w:sz w:val="20"/>
        <w:szCs w:val="20"/>
      </w:rPr>
      <w:t xml:space="preserve">     </w:t>
    </w:r>
    <w:r>
      <w:rPr>
        <w:rFonts w:ascii="Arial" w:hAnsi="Arial"/>
        <w:sz w:val="20"/>
        <w:szCs w:val="20"/>
      </w:rPr>
      <w:t xml:space="preserve">  </w:t>
    </w:r>
    <w:r>
      <w:rPr>
        <w:rFonts w:ascii="Arial" w:hAnsi="Arial"/>
        <w:sz w:val="20"/>
        <w:szCs w:val="20"/>
      </w:rPr>
      <w:t xml:space="preserve">       </w:t>
    </w:r>
    <w:r>
      <w:rPr>
        <w:rFonts w:ascii="Arial" w:hAnsi="Arial"/>
        <w:sz w:val="20"/>
        <w:szCs w:val="20"/>
      </w:rPr>
      <w:t xml:space="preserve">Apoio</w:t>
    </w:r>
    <w:r>
      <w:rPr>
        <w:rFonts w:ascii="Arial" w:hAnsi="Arial"/>
        <w:sz w:val="20"/>
        <w:szCs w:val="20"/>
      </w:rPr>
      <w:t xml:space="preserve">  </w:t>
    </w:r>
    <w:r>
      <w:rPr>
        <w:rFonts w:ascii="Arial" w:hAnsi="Arial"/>
        <w:sz w:val="20"/>
        <w:szCs w:val="20"/>
      </w:rPr>
      <w:t xml:space="preserve">           </w:t>
    </w:r>
    <w:r>
      <w:rPr>
        <w:rFonts w:ascii="Arial" w:hAnsi="Arial"/>
        <w:sz w:val="20"/>
        <w:szCs w:val="20"/>
      </w:rPr>
      <w:t xml:space="preserve">       </w:t>
    </w:r>
    <w:r>
      <w:rPr>
        <w:rFonts w:ascii="Arial" w:hAnsi="Arial"/>
        <w:sz w:val="20"/>
        <w:szCs w:val="20"/>
      </w:rPr>
      <w:t xml:space="preserve">      </w:t>
    </w:r>
    <w:r>
      <w:rPr>
        <w:rFonts w:ascii="Arial" w:hAnsi="Arial"/>
        <w:sz w:val="20"/>
        <w:szCs w:val="20"/>
      </w:rPr>
      <w:t xml:space="preserve">  </w:t>
    </w:r>
    <w:r>
      <w:rPr>
        <w:rFonts w:ascii="Arial" w:hAnsi="Arial"/>
        <w:sz w:val="20"/>
        <w:szCs w:val="20"/>
      </w:rPr>
      <w:t xml:space="preserve"> </w:t>
    </w:r>
    <w:r>
      <w:rPr>
        <w:rFonts w:ascii="Arial" w:hAnsi="Arial"/>
        <w:sz w:val="20"/>
        <w:szCs w:val="20"/>
      </w:rPr>
      <w:t xml:space="preserve">             </w:t>
    </w:r>
    <w:r>
      <w:rPr>
        <w:rFonts w:ascii="Arial" w:hAnsi="Arial"/>
        <w:sz w:val="20"/>
        <w:szCs w:val="20"/>
      </w:rPr>
      <w:t xml:space="preserve">                      </w:t>
    </w:r>
    <w:r>
      <w:rPr>
        <w:rFonts w:ascii="Arial" w:hAnsi="Arial"/>
        <w:sz w:val="20"/>
        <w:szCs w:val="20"/>
      </w:rPr>
      <w:t xml:space="preserve">    </w:t>
    </w:r>
    <w:r>
      <w:rPr>
        <w:rFonts w:ascii="Arial" w:hAnsi="Arial"/>
        <w:sz w:val="20"/>
        <w:szCs w:val="20"/>
      </w:rPr>
      <w:t xml:space="preserve"> </w:t>
    </w:r>
    <w:r>
      <w:rPr>
        <w:rFonts w:ascii="Arial" w:hAnsi="Arial"/>
        <w:sz w:val="20"/>
        <w:szCs w:val="20"/>
      </w:rPr>
      <w:t xml:space="preserve">  </w:t>
    </w:r>
    <w:r>
      <w:rPr>
        <w:rFonts w:ascii="Arial" w:hAnsi="Arial"/>
        <w:sz w:val="20"/>
        <w:szCs w:val="20"/>
      </w:rPr>
      <w:t xml:space="preserve">   </w:t>
    </w:r>
    <w:r>
      <w:rPr>
        <w:rFonts w:ascii="Arial" w:hAnsi="Arial"/>
        <w:sz w:val="20"/>
        <w:szCs w:val="20"/>
      </w:rPr>
    </w:r>
    <w:r/>
  </w:p>
  <w:p>
    <w:pPr>
      <w:pStyle w:val="1139"/>
    </w:pPr>
    <w:r>
      <w:rPr>
        <w:b/>
        <w:bCs/>
      </w:rPr>
      <mc:AlternateContent>
        <mc:Choice Requires="wpg">
          <w:drawing>
            <wp:anchor xmlns:wp="http://schemas.openxmlformats.org/drawingml/2006/wordprocessingDrawing" distT="0" distB="0" distL="114300" distR="114300" simplePos="0" relativeHeight="251658242" behindDoc="0" locked="0" layoutInCell="1" allowOverlap="1">
              <wp:simplePos x="0" y="0"/>
              <wp:positionH relativeFrom="column">
                <wp:posOffset>148590</wp:posOffset>
              </wp:positionH>
              <wp:positionV relativeFrom="paragraph">
                <wp:posOffset>142240</wp:posOffset>
              </wp:positionV>
              <wp:extent cx="1012190" cy="384175"/>
              <wp:effectExtent l="0" t="0" r="0" b="0"/>
              <wp:wrapNone/>
              <wp:docPr id="4" name="" hidden="false"/>
              <wp:cNvGraphicFramePr/>
              <a:graphic xmlns:a="http://schemas.openxmlformats.org/drawingml/2006/main">
                <a:graphicData uri="http://schemas.openxmlformats.org/drawingml/2006/picture">
                  <pic:pic xmlns:pic="http://schemas.openxmlformats.org/drawingml/2006/picture">
                    <pic:nvPicPr>
                      <pic:cNvPr id="7" name="" hidden="0"/>
                      <pic:cNvPicPr/>
                      <pic:nvPr isPhoto="0" userDrawn="0"/>
                    </pic:nvPicPr>
                    <pic:blipFill>
                      <a:blip r:embed="rId3"/>
                      <a:stretch/>
                    </pic:blipFill>
                    <pic:spPr bwMode="auto">
                      <a:xfrm>
                        <a:off x="0" y="0"/>
                        <a:ext cx="1012190" cy="38417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mso-wrap-distance-left:9.0pt;mso-wrap-distance-top:0.0pt;mso-wrap-distance-right:9.0pt;mso-wrap-distance-bottom:0.0pt;z-index:251658242;o:allowoverlap:true;o:allowincell:true;mso-position-horizontal-relative:text;margin-left:11.7pt;mso-position-horizontal:absolute;mso-position-vertical-relative:text;margin-top:11.2pt;mso-position-vertical:absolute;width:79.7pt;height:30.2pt;">
              <v:path textboxrect="0,0,0,0"/>
              <v:imagedata r:id="rId3" o:title=""/>
            </v:shape>
          </w:pict>
        </mc:Fallback>
      </mc:AlternateContent>
    </w:r>
    <w:r>
      <w:rPr>
        <w:b/>
        <w:bCs/>
      </w:rPr>
      <mc:AlternateContent>
        <mc:Choice Requires="wpg">
          <w:drawing>
            <wp:anchor xmlns:wp="http://schemas.openxmlformats.org/drawingml/2006/wordprocessingDrawing" distT="0" distB="0" distL="114300" distR="114300" simplePos="0" relativeHeight="251658241" behindDoc="0" locked="0" layoutInCell="1" allowOverlap="1">
              <wp:simplePos x="0" y="0"/>
              <wp:positionH relativeFrom="column">
                <wp:posOffset>-671194</wp:posOffset>
              </wp:positionH>
              <wp:positionV relativeFrom="paragraph">
                <wp:posOffset>142240</wp:posOffset>
              </wp:positionV>
              <wp:extent cx="830580" cy="346075"/>
              <wp:effectExtent l="0" t="0" r="0" b="0"/>
              <wp:wrapNone/>
              <wp:docPr id="5" name="" hidden="false"/>
              <wp:cNvGraphicFramePr/>
              <a:graphic xmlns:a="http://schemas.openxmlformats.org/drawingml/2006/main">
                <a:graphicData uri="http://schemas.openxmlformats.org/drawingml/2006/picture">
                  <pic:pic xmlns:pic="http://schemas.openxmlformats.org/drawingml/2006/picture">
                    <pic:nvPicPr>
                      <pic:cNvPr id="8" name="" hidden="0"/>
                      <pic:cNvPicPr/>
                      <pic:nvPr isPhoto="0" userDrawn="0"/>
                    </pic:nvPicPr>
                    <pic:blipFill>
                      <a:blip r:embed="rId4"/>
                      <a:stretch/>
                    </pic:blipFill>
                    <pic:spPr bwMode="auto">
                      <a:xfrm>
                        <a:off x="0" y="0"/>
                        <a:ext cx="830580" cy="34607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position:absolute;mso-wrap-distance-left:9.0pt;mso-wrap-distance-top:0.0pt;mso-wrap-distance-right:9.0pt;mso-wrap-distance-bottom:0.0pt;z-index:251658241;o:allowoverlap:true;o:allowincell:true;mso-position-horizontal-relative:text;margin-left:-52.8pt;mso-position-horizontal:absolute;mso-position-vertical-relative:text;margin-top:11.2pt;mso-position-vertical:absolute;width:65.4pt;height:27.2pt;">
              <v:path textboxrect="0,0,0,0"/>
              <v:imagedata r:id="rId4" o:title=""/>
            </v:shape>
          </w:pict>
        </mc:Fallback>
      </mc:AlternateContent>
    </w:r>
    <w:r>
      <mc:AlternateContent>
        <mc:Choice Requires="wpg">
          <w:drawing>
            <wp:anchor xmlns:wp="http://schemas.openxmlformats.org/drawingml/2006/wordprocessingDrawing" distT="0" distB="0" distL="114300" distR="114300" simplePos="0" relativeHeight="251658244" behindDoc="1" locked="0" layoutInCell="1" allowOverlap="1">
              <wp:simplePos x="0" y="0"/>
              <wp:positionH relativeFrom="column">
                <wp:posOffset>3845560</wp:posOffset>
              </wp:positionH>
              <wp:positionV relativeFrom="paragraph">
                <wp:posOffset>171450</wp:posOffset>
              </wp:positionV>
              <wp:extent cx="847725" cy="262255"/>
              <wp:effectExtent l="0" t="0" r="0" b="0"/>
              <wp:wrapNone/>
              <wp:docPr id="6" name="" hidden="false"/>
              <wp:cNvGraphicFramePr/>
              <a:graphic xmlns:a="http://schemas.openxmlformats.org/drawingml/2006/main">
                <a:graphicData uri="http://schemas.openxmlformats.org/drawingml/2006/picture">
                  <pic:pic xmlns:pic="http://schemas.openxmlformats.org/drawingml/2006/picture">
                    <pic:nvPicPr>
                      <pic:cNvPr id="9" name="" hidden="0"/>
                      <pic:cNvPicPr/>
                      <pic:nvPr isPhoto="0" userDrawn="0"/>
                    </pic:nvPicPr>
                    <pic:blipFill>
                      <a:blip r:embed="rId5"/>
                      <a:stretch/>
                    </pic:blipFill>
                    <pic:spPr bwMode="auto">
                      <a:xfrm>
                        <a:off x="0" y="0"/>
                        <a:ext cx="847725" cy="26225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position:absolute;mso-wrap-distance-left:9.0pt;mso-wrap-distance-top:0.0pt;mso-wrap-distance-right:9.0pt;mso-wrap-distance-bottom:0.0pt;z-index:-251658244;o:allowoverlap:true;o:allowincell:true;mso-position-horizontal-relative:text;margin-left:302.8pt;mso-position-horizontal:absolute;mso-position-vertical-relative:text;margin-top:13.5pt;mso-position-vertical:absolute;width:66.8pt;height:20.6pt;">
              <v:path textboxrect="0,0,0,0"/>
              <v:imagedata r:id="rId5" o:title=""/>
            </v:shape>
          </w:pict>
        </mc:Fallback>
      </mc:AlternateContent>
    </w:r>
    <w:r>
      <mc:AlternateContent>
        <mc:Choice Requires="wpg">
          <w:drawing>
            <wp:anchor xmlns:wp="http://schemas.openxmlformats.org/drawingml/2006/wordprocessingDrawing" distT="0" distB="0" distL="114300" distR="114300" simplePos="0" relativeHeight="251658245" behindDoc="1" locked="0" layoutInCell="1" allowOverlap="1">
              <wp:simplePos x="0" y="0"/>
              <wp:positionH relativeFrom="column">
                <wp:posOffset>3299460</wp:posOffset>
              </wp:positionH>
              <wp:positionV relativeFrom="paragraph">
                <wp:posOffset>85725</wp:posOffset>
              </wp:positionV>
              <wp:extent cx="357505" cy="440690"/>
              <wp:effectExtent l="0" t="0" r="0" b="0"/>
              <wp:wrapNone/>
              <wp:docPr id="7" name="" hidden="false"/>
              <wp:cNvGraphicFramePr/>
              <a:graphic xmlns:a="http://schemas.openxmlformats.org/drawingml/2006/main">
                <a:graphicData uri="http://schemas.openxmlformats.org/drawingml/2006/picture">
                  <pic:pic xmlns:pic="http://schemas.openxmlformats.org/drawingml/2006/picture">
                    <pic:nvPicPr>
                      <pic:cNvPr id="10" name="" hidden="0"/>
                      <pic:cNvPicPr/>
                      <pic:nvPr isPhoto="0" userDrawn="0"/>
                    </pic:nvPicPr>
                    <pic:blipFill>
                      <a:blip r:embed="rId6"/>
                      <a:stretch/>
                    </pic:blipFill>
                    <pic:spPr bwMode="auto">
                      <a:xfrm>
                        <a:off x="0" y="0"/>
                        <a:ext cx="357505" cy="440690"/>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position:absolute;mso-wrap-distance-left:9.0pt;mso-wrap-distance-top:0.0pt;mso-wrap-distance-right:9.0pt;mso-wrap-distance-bottom:0.0pt;z-index:-251658245;o:allowoverlap:true;o:allowincell:true;mso-position-horizontal-relative:text;margin-left:259.8pt;mso-position-horizontal:absolute;mso-position-vertical-relative:text;margin-top:6.8pt;mso-position-vertical:absolute;width:28.1pt;height:34.7pt;">
              <v:path textboxrect="0,0,0,0"/>
              <v:imagedata r:id="rId6" o:title=""/>
            </v:shape>
          </w:pict>
        </mc:Fallback>
      </mc:AlternateContent>
    </w:r>
    <w:r>
      <mc:AlternateContent>
        <mc:Choice Requires="wpg">
          <w:drawing>
            <wp:anchor xmlns:wp="http://schemas.openxmlformats.org/drawingml/2006/wordprocessingDrawing" distT="0" distB="0" distL="114300" distR="114300" simplePos="0" relativeHeight="251658246" behindDoc="1" locked="0" layoutInCell="1" allowOverlap="1">
              <wp:simplePos x="0" y="0"/>
              <wp:positionH relativeFrom="column">
                <wp:posOffset>2244725</wp:posOffset>
              </wp:positionH>
              <wp:positionV relativeFrom="paragraph">
                <wp:posOffset>114300</wp:posOffset>
              </wp:positionV>
              <wp:extent cx="952500" cy="381000"/>
              <wp:effectExtent l="0" t="0" r="0" b="0"/>
              <wp:wrapNone/>
              <wp:docPr id="8" name="" hidden="false"/>
              <wp:cNvGraphicFramePr/>
              <a:graphic xmlns:a="http://schemas.openxmlformats.org/drawingml/2006/main">
                <a:graphicData uri="http://schemas.openxmlformats.org/drawingml/2006/picture">
                  <pic:pic xmlns:pic="http://schemas.openxmlformats.org/drawingml/2006/picture">
                    <pic:nvPicPr>
                      <pic:cNvPr id="11" name="" hidden="0"/>
                      <pic:cNvPicPr/>
                      <pic:nvPr isPhoto="0" userDrawn="0"/>
                    </pic:nvPicPr>
                    <pic:blipFill>
                      <a:blip r:embed="rId7"/>
                      <a:stretch/>
                    </pic:blipFill>
                    <pic:spPr bwMode="auto">
                      <a:xfrm>
                        <a:off x="0" y="0"/>
                        <a:ext cx="952500" cy="381000"/>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position:absolute;mso-wrap-distance-left:9.0pt;mso-wrap-distance-top:0.0pt;mso-wrap-distance-right:9.0pt;mso-wrap-distance-bottom:0.0pt;z-index:-251658246;o:allowoverlap:true;o:allowincell:true;mso-position-horizontal-relative:text;margin-left:176.8pt;mso-position-horizontal:absolute;mso-position-vertical-relative:text;margin-top:9.0pt;mso-position-vertical:absolute;width:75.0pt;height:30.0pt;">
              <v:path textboxrect="0,0,0,0"/>
              <v:imagedata r:id="rId7" o:title=""/>
            </v:shape>
          </w:pict>
        </mc:Fallback>
      </mc:AlternateContent>
    </w:r>
    <w:r>
      <w:t xml:space="preserve"> </w:t>
    </w:r>
    <w:r>
      <w:t xml:space="preserve">                        </w:t>
    </w:r>
    <w:r>
      <w:t xml:space="preserve">                             </w:t>
    </w:r>
    <w:r>
      <w:t xml:space="preserve">     </w:t>
    </w:r>
    <w:r>
      <w:t xml:space="preserve">   </w:t>
    </w:r>
    <w:r>
      <w:t xml:space="preserve">                                                                   </w:t>
    </w:r>
    <w:r>
      <w:t xml:space="preserve"> </w:t>
    </w:r>
    <w:r/>
  </w:p>
  <w:p>
    <w:pPr>
      <w:pStyle w:val="1139"/>
    </w:pPr>
    <w:r>
      <w:t xml:space="preserve">                                                                                       </w:t>
    </w:r>
    <w:r>
      <w:t xml:space="preserve">          </w:t>
    </w:r>
    <w:r>
      <w:t xml:space="preserve">            </w:t>
    </w:r>
    <w:r>
      <w:t xml:space="preserve">    </w:t>
    </w:r>
    <w:r>
      <w:t xml:space="preserve">                 </w:t>
    </w:r>
    <w:r>
      <w:rPr>
        <w:rFonts w:ascii="Arial" w:hAnsi="Arial"/>
        <w:sz w:val="20"/>
        <w:szCs w:val="20"/>
      </w:rPr>
      <w:t xml:space="preserve">P</w:t>
    </w:r>
    <w:r>
      <w:rPr>
        <w:rFonts w:ascii="Arial" w:hAnsi="Arial"/>
        <w:sz w:val="20"/>
        <w:szCs w:val="20"/>
      </w:rPr>
      <w:t xml:space="preserve">ági</w:t>
    </w:r>
    <w:r>
      <w:rPr>
        <w:rFonts w:ascii="Arial" w:hAnsi="Arial"/>
        <w:sz w:val="20"/>
        <w:szCs w:val="20"/>
      </w:rPr>
      <w:t xml:space="preserve">na </w:t>
    </w:r>
    <w:r>
      <w:rPr>
        <w:rFonts w:ascii="Arial" w:hAnsi="Arial"/>
        <w:b/>
        <w:bCs/>
        <w:sz w:val="20"/>
        <w:szCs w:val="20"/>
      </w:rPr>
      <w:fldChar w:fldCharType="begin"/>
    </w:r>
    <w:r>
      <w:rPr>
        <w:rFonts w:ascii="Arial" w:hAnsi="Arial"/>
        <w:b/>
        <w:bCs/>
        <w:sz w:val="20"/>
        <w:szCs w:val="20"/>
      </w:rPr>
      <w:instrText xml:space="preserve">PAGE</w:instrText>
    </w:r>
    <w:r>
      <w:rPr>
        <w:rFonts w:ascii="Arial" w:hAnsi="Arial"/>
        <w:b/>
        <w:bCs/>
        <w:sz w:val="20"/>
        <w:szCs w:val="20"/>
      </w:rPr>
      <w:fldChar w:fldCharType="separate"/>
    </w:r>
    <w:r>
      <w:rPr>
        <w:rFonts w:ascii="Arial" w:hAnsi="Arial"/>
        <w:b/>
        <w:bCs/>
      </w:rPr>
      <w:t xml:space="preserve">1</w:t>
    </w:r>
    <w:r>
      <w:rPr>
        <w:rFonts w:ascii="Arial" w:hAnsi="Arial"/>
        <w:b/>
        <w:bCs/>
        <w:sz w:val="20"/>
        <w:szCs w:val="20"/>
      </w:rPr>
      <w:fldChar w:fldCharType="end"/>
    </w:r>
    <w:r>
      <w:rPr>
        <w:rFonts w:ascii="Arial" w:hAnsi="Arial"/>
        <w:sz w:val="20"/>
        <w:szCs w:val="20"/>
      </w:rPr>
      <w:t xml:space="preserve"> de </w:t>
    </w:r>
    <w:r>
      <w:rPr>
        <w:rFonts w:ascii="Arial" w:hAnsi="Arial"/>
        <w:b/>
        <w:bCs/>
        <w:sz w:val="20"/>
        <w:szCs w:val="20"/>
      </w:rPr>
      <w:fldChar w:fldCharType="begin"/>
    </w:r>
    <w:r>
      <w:rPr>
        <w:rFonts w:ascii="Arial" w:hAnsi="Arial"/>
        <w:b/>
        <w:bCs/>
        <w:sz w:val="20"/>
        <w:szCs w:val="20"/>
      </w:rPr>
      <w:instrText xml:space="preserve">NUMPAGES</w:instrText>
    </w:r>
    <w:r>
      <w:rPr>
        <w:rFonts w:ascii="Arial" w:hAnsi="Arial"/>
        <w:b/>
        <w:bCs/>
        <w:sz w:val="20"/>
        <w:szCs w:val="20"/>
      </w:rPr>
      <w:fldChar w:fldCharType="separate"/>
    </w:r>
    <w:r>
      <w:rPr>
        <w:rFonts w:ascii="Arial" w:hAnsi="Arial"/>
        <w:b/>
        <w:bCs/>
      </w:rPr>
      <w:t xml:space="preserve">5</w:t>
    </w:r>
    <w:r>
      <w:rPr>
        <w:rFonts w:ascii="Arial" w:hAnsi="Arial"/>
        <w:b/>
        <w:bCs/>
        <w:sz w:val="20"/>
        <w:szCs w:val="20"/>
      </w:rPr>
      <w:fldChar w:fldCharType="end"/>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139"/>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139"/>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lineRule="auto" w:line="240" w:after="0"/>
      </w:pPr>
      <w:r>
        <w:separator/>
      </w:r>
      <w:r/>
    </w:p>
  </w:footnote>
  <w:footnote w:type="continuationSeparator" w:id="0">
    <w:p>
      <w:pPr>
        <w:spacing w:lineRule="auto" w:line="240" w:after="0"/>
      </w:pPr>
      <w:r>
        <w:continuationSeparator/>
      </w:r>
      <w:r/>
    </w:p>
  </w:footnote>
  <w:footnote w:id="2">
    <w:p>
      <w:pPr>
        <w:pStyle w:val="1101"/>
      </w:pPr>
      <w:r>
        <w:rPr>
          <w:rStyle w:val="1103"/>
        </w:rPr>
        <w:footnoteRef/>
      </w:r>
      <w:r>
        <w:t xml:space="preserve"> </w:t>
      </w:r>
      <w:r>
        <w:t xml:space="preserve">FBSP - Fórum Brasileiro de Segurança Pública. Disponível em: </w:t>
      </w:r>
      <w:hyperlink r:id="rId1" w:tooltip="https://forumseguranca.org.br/wp-content/uploads/2021/10/anuario-15-completo-v7-251021.pdf" w:history="1">
        <w:r>
          <w:rPr>
            <w:rStyle w:val="1130"/>
            <w:color w:val="000080"/>
          </w:rPr>
          <w:t xml:space="preserve">https://forumseguranca.org.br/wp-content/uploads/2021/10/anuario-</w:t>
        </w:r>
        <w:r>
          <w:rPr>
            <w:rStyle w:val="1130"/>
            <w:color w:val="000080"/>
          </w:rPr>
          <w:t xml:space="preserve">15-completo-v7-251021.pdf</w:t>
        </w:r>
      </w:hyperlink>
      <w:r>
        <w:t xml:space="preserve">. Acesso em: 02, </w:t>
      </w:r>
      <w:r>
        <w:t xml:space="preserve">jul</w:t>
      </w:r>
      <w:r>
        <w:t xml:space="preserve">, 2022.</w:t>
      </w:r>
      <w:r/>
    </w:p>
  </w:footnote>
  <w:footnote w:id="3">
    <w:p>
      <w:pPr>
        <w:pStyle w:val="1101"/>
      </w:pPr>
      <w:r>
        <w:rPr>
          <w:rStyle w:val="1103"/>
        </w:rPr>
        <w:footnoteRef/>
      </w:r>
      <w:r>
        <w:t xml:space="preserve"> </w:t>
      </w:r>
      <w:r>
        <w:rPr>
          <w:color w:val="000000"/>
        </w:rPr>
        <w:t xml:space="preserve">A violência de gênero, em geral, está atrelada ao silenciamento por</w:t>
      </w:r>
      <w:r>
        <w:rPr>
          <w:color w:val="000000"/>
        </w:rPr>
        <w:t xml:space="preserve"> fatores</w:t>
      </w:r>
      <w:r>
        <w:rPr>
          <w:color w:val="000000"/>
        </w:rPr>
        <w:t xml:space="preserve"> </w:t>
      </w:r>
      <w:r>
        <w:rPr>
          <w:color w:val="000000"/>
        </w:rPr>
        <w:t xml:space="preserve">como dependência financeira ou mental do agressor, medo de retaliação, vergonha, etc.</w:t>
      </w:r>
      <w:r/>
    </w:p>
  </w:footnote>
  <w:footnote w:id="4">
    <w:p>
      <w:pPr>
        <w:pStyle w:val="1101"/>
      </w:pPr>
      <w:r>
        <w:rPr>
          <w:rStyle w:val="1103"/>
        </w:rPr>
        <w:footnoteRef/>
      </w:r>
      <w:r>
        <w:t xml:space="preserve"> </w:t>
      </w:r>
      <w:r>
        <w:rPr>
          <w:color w:val="000000"/>
        </w:rPr>
        <w:t xml:space="preserve">Deve-se, contudo, compreender que essas oportunidades ainda eram bastante excluden</w:t>
      </w:r>
      <w:r>
        <w:rPr>
          <w:color w:val="000000"/>
        </w:rPr>
        <w:t xml:space="preserve">tes. Isto é, não atingiam a todas as mulheres, como aquelas em estado de vulnerabilidade econômica que há muito já trabalhavam informalmente.</w:t>
      </w:r>
      <w:r/>
    </w:p>
  </w:footnote>
  <w:footnote w:id="5">
    <w:p>
      <w:pPr>
        <w:pStyle w:val="1101"/>
        <w:ind w:left="142" w:hanging="142"/>
        <w:jc w:val="both"/>
      </w:pPr>
      <w:r>
        <w:rPr>
          <w:rStyle w:val="1103"/>
        </w:rPr>
        <w:footnoteRef/>
      </w:r>
      <w:r>
        <w:t xml:space="preserve"> Diferente do que possa constituir o imaginário sobre violência de gênero, esta não nomeia apenas a violência pra</w:t>
      </w:r>
      <w:r>
        <w:t xml:space="preserve">ticada contra mulheres, mas ao agir ofensivamente sobre outro em detrimento à sua identidade de gênero. Apesar da manifestação física da violência ser a mais visível – ainda que muitas vezes ignorada –, não é a única. Atualmente, a lei nº 11.340 (Maria da </w:t>
      </w:r>
      <w:r>
        <w:t xml:space="preserve">Penha) prevê cinco tipos de violência contra a mulher, sendo elas as violências morais, psicológica – que são mais difíceis de identificar, e facilmente se alastram no cotidiano, camufladas pela normalidade –, física, patrimonial e sexual.</w:t>
      </w:r>
      <w:r/>
    </w:p>
  </w:footnote>
  <w:footnote w:id="6">
    <w:p>
      <w:pPr>
        <w:pStyle w:val="1101"/>
      </w:pPr>
      <w:r>
        <w:rPr>
          <w:rStyle w:val="1103"/>
        </w:rPr>
        <w:footnoteRef/>
      </w:r>
      <w:r>
        <w:t xml:space="preserve"> </w:t>
      </w:r>
      <w:r>
        <w:rPr>
          <w:color w:val="000000"/>
        </w:rPr>
        <w:t xml:space="preserve">Processo Nº 86</w:t>
      </w:r>
      <w:r>
        <w:rPr>
          <w:color w:val="000000"/>
        </w:rPr>
        <w:t xml:space="preserve"> de 1978. Primeira Vara Criminal da Comarca de Paranaguá - PR.</w:t>
      </w:r>
      <w:r/>
    </w:p>
  </w:footnote>
  <w:footnote w:id="7">
    <w:p>
      <w:pPr>
        <w:pStyle w:val="1101"/>
        <w:ind w:left="142" w:hanging="142"/>
        <w:jc w:val="both"/>
      </w:pPr>
      <w:r>
        <w:rPr>
          <w:rStyle w:val="1103"/>
        </w:rPr>
        <w:footnoteRef/>
      </w:r>
      <w:r>
        <w:rPr>
          <w:sz w:val="24"/>
          <w:szCs w:val="24"/>
        </w:rPr>
        <w:t xml:space="preserve"> </w:t>
      </w:r>
      <w:r>
        <w:rPr>
          <w:sz w:val="24"/>
          <w:szCs w:val="24"/>
        </w:rPr>
        <w:t xml:space="preserve">Apesar de nos defrontar com vidas esquecidas pela história, tomamos o cuidado com relação a essas identidades, ocultando-as sob nomes fictícios. </w:t>
      </w:r>
      <w:r>
        <w:rPr>
          <w:sz w:val="24"/>
          <w:szCs w:val="24"/>
        </w:rPr>
        <w:t xml:space="preserve">Ainda assim, é também na intenção de lançar luz a existências tácitas, que decidimos recorrer às fontes judiciais</w:t>
      </w:r>
      <w:r>
        <w:t xml:space="preserve">.</w:t>
      </w:r>
      <w:r/>
    </w:p>
  </w:footnote>
  <w:footnote w:id="8">
    <w:p>
      <w:pPr>
        <w:pStyle w:val="1101"/>
        <w:ind w:left="142" w:hanging="142"/>
        <w:jc w:val="both"/>
      </w:pPr>
      <w:r>
        <w:rPr>
          <w:rStyle w:val="1103"/>
        </w:rPr>
        <w:footnoteRef/>
      </w:r>
      <w:r>
        <w:t xml:space="preserve"> Relembrando que a paternidade estava relacionada com a capacidade de prover o sustento, de forma a exaltar também o sujeito como </w:t>
      </w:r>
      <w:r>
        <w:t xml:space="preserve">trabalhador, uma identidade bem vista.</w:t>
      </w:r>
      <w:r/>
    </w:p>
  </w:footnote>
  <w:footnote w:id="9">
    <w:p>
      <w:pPr>
        <w:pStyle w:val="1101"/>
        <w:ind w:left="142" w:hanging="142"/>
        <w:jc w:val="both"/>
      </w:pPr>
      <w:r>
        <w:rPr>
          <w:rStyle w:val="1103"/>
        </w:rPr>
        <w:footnoteRef/>
      </w:r>
      <w:r>
        <w:rPr>
          <w:rStyle w:val="1103"/>
          <w:vertAlign w:val="baseline"/>
        </w:rPr>
        <w:t xml:space="preserve"> </w:t>
      </w:r>
      <w:r>
        <w:t xml:space="preserve">P</w:t>
      </w:r>
      <w:r>
        <w:rPr>
          <w:rStyle w:val="1103"/>
          <w:vertAlign w:val="baseline"/>
        </w:rPr>
        <w:t xml:space="preserve">rocesso no qual o sujeito torna-se parte de determinada cultura, assimilando-a e a incorporando. </w:t>
      </w:r>
      <w:r/>
    </w:p>
  </w:footnote>
  <w:footnote w:id="10">
    <w:p>
      <w:pPr>
        <w:pStyle w:val="1101"/>
      </w:pPr>
      <w:r>
        <w:rPr>
          <w:rStyle w:val="1103"/>
        </w:rPr>
        <w:footnoteRef/>
      </w:r>
      <w:r>
        <w:t xml:space="preserve"> </w:t>
      </w:r>
      <w:r>
        <w:rPr>
          <w:color w:val="000000"/>
        </w:rPr>
        <w:t xml:space="preserve">Processo Nº 15 de 1975. Primeira Vara Criminal da Comarca de Paranaguá - PR.</w:t>
      </w:r>
      <w:r/>
    </w:p>
  </w:footnote>
  <w:footnote w:id="11">
    <w:p>
      <w:pPr>
        <w:pStyle w:val="1101"/>
        <w:ind w:left="142" w:hanging="142"/>
        <w:jc w:val="both"/>
      </w:pPr>
      <w:r>
        <w:rPr>
          <w:rStyle w:val="1103"/>
        </w:rPr>
        <w:footnoteRef/>
      </w:r>
      <w:r>
        <w:t xml:space="preserve"> </w:t>
      </w:r>
      <w:r>
        <w:rPr>
          <w:sz w:val="24"/>
          <w:szCs w:val="24"/>
        </w:rPr>
        <w:t xml:space="preserve">O laudo apr</w:t>
      </w:r>
      <w:r>
        <w:rPr>
          <w:sz w:val="24"/>
          <w:szCs w:val="24"/>
        </w:rPr>
        <w:t xml:space="preserve">esenta desvirginamento completo, cicatrização completa e ausência de canais hemorrágicos, não podendo precisar data, respondendo que não houve violência durante o ato. A ausência de violência não anula o crime, por lei, lembrando que a legislação prevê o e</w:t>
      </w:r>
      <w:r>
        <w:rPr>
          <w:sz w:val="24"/>
          <w:szCs w:val="24"/>
        </w:rPr>
        <w:t xml:space="preserve">stupro por grave ameaça igualmente.</w:t>
      </w:r>
      <w:r/>
    </w:p>
  </w:footnote>
  <w:footnote w:id="12">
    <w:p>
      <w:pPr>
        <w:pStyle w:val="1101"/>
        <w:ind w:left="142" w:hanging="142"/>
        <w:jc w:val="both"/>
      </w:pPr>
      <w:r>
        <w:rPr>
          <w:rStyle w:val="1103"/>
        </w:rPr>
        <w:footnoteRef/>
      </w:r>
      <w:r>
        <w:t xml:space="preserve"> </w:t>
      </w:r>
      <w:r>
        <w:rPr>
          <w:sz w:val="24"/>
          <w:szCs w:val="24"/>
        </w:rPr>
        <w:t xml:space="preserve">Enfatizar o pedido de socorro é uma estratégia para basear o não consentimento, de modo que </w:t>
      </w:r>
      <w:r>
        <w:rPr>
          <w:sz w:val="24"/>
          <w:szCs w:val="24"/>
        </w:rPr>
        <w:t xml:space="preserve">torna-se</w:t>
      </w:r>
      <w:r>
        <w:rPr>
          <w:sz w:val="24"/>
          <w:szCs w:val="24"/>
        </w:rPr>
        <w:t xml:space="preserve"> uma pergunta frequente feita à vítima estando presente em aproximadamente metade das peças examinadas.</w:t>
      </w:r>
      <w:r/>
    </w:p>
  </w:footnote>
  <w:footnote w:id="13">
    <w:p>
      <w:pPr>
        <w:pStyle w:val="1101"/>
        <w:ind w:left="142" w:hanging="142"/>
        <w:jc w:val="both"/>
      </w:pPr>
      <w:r>
        <w:rPr>
          <w:rStyle w:val="1103"/>
        </w:rPr>
        <w:footnoteRef/>
      </w:r>
      <w:r>
        <w:t xml:space="preserve"> O estado de </w:t>
      </w:r>
      <w:r>
        <w:t xml:space="preserve">embriaguez, apesar de se distanciar de um modelo normativo, servia como tática para livrar o réu de sua responsabilidade.</w:t>
      </w:r>
      <w:r/>
    </w:p>
  </w:footnote>
  <w:footnote w:id="14">
    <w:p>
      <w:pPr>
        <w:pStyle w:val="1101"/>
      </w:pPr>
      <w:r>
        <w:rPr>
          <w:rStyle w:val="1103"/>
        </w:rPr>
        <w:footnoteRef/>
      </w:r>
      <w:r>
        <w:t xml:space="preserve"> Irene</w:t>
      </w:r>
      <w:r>
        <w:t xml:space="preserve"> afirm</w:t>
      </w:r>
      <w:r>
        <w:t xml:space="preserve">ou</w:t>
      </w:r>
      <w:r>
        <w:t xml:space="preserve"> que saia de uma festa, e não do trabalho, por exemplo.</w:t>
      </w:r>
      <w:r/>
    </w:p>
  </w:footnote>
  <w:footnote w:id="15">
    <w:p>
      <w:pPr>
        <w:pStyle w:val="1101"/>
      </w:pPr>
      <w:r>
        <w:rPr>
          <w:rStyle w:val="1103"/>
        </w:rPr>
        <w:footnoteRef/>
      </w:r>
      <w:r>
        <w:t xml:space="preserve"> </w:t>
      </w:r>
      <w:r>
        <w:rPr>
          <w:color w:val="000000"/>
        </w:rPr>
        <w:t xml:space="preserve">Processo Nº 102 de 1976. Primeira Vara Criminal da Comarca de Paranaguá - PR.</w:t>
      </w:r>
      <w:r/>
    </w:p>
  </w:footnote>
  <w:footnote w:id="16">
    <w:p>
      <w:pPr>
        <w:pStyle w:val="1101"/>
      </w:pPr>
      <w:r>
        <w:rPr>
          <w:rStyle w:val="1103"/>
        </w:rPr>
        <w:footnoteRef/>
      </w:r>
      <w:r>
        <w:t xml:space="preserve"> </w:t>
      </w:r>
      <w:r>
        <w:rPr>
          <w:color w:val="000000"/>
        </w:rPr>
        <w:t xml:space="preserve">Processo Nº 74 de 1976. Primeira Vara Criminal da Comarca de Paranaguá - PR.</w:t>
      </w:r>
      <w:r/>
    </w:p>
  </w:footnote>
  <w:footnote w:id="17">
    <w:p>
      <w:pPr>
        <w:pStyle w:val="1101"/>
      </w:pPr>
      <w:r>
        <w:rPr>
          <w:rStyle w:val="1103"/>
        </w:rPr>
        <w:footnoteRef/>
      </w:r>
      <w:r>
        <w:t xml:space="preserve"> </w:t>
      </w:r>
      <w:r>
        <w:rPr>
          <w:color w:val="000000"/>
        </w:rPr>
        <w:t xml:space="preserve">Processo Nº 101 de 1</w:t>
      </w:r>
      <w:r>
        <w:rPr>
          <w:color w:val="000000"/>
        </w:rPr>
        <w:t xml:space="preserve">976. Primeira Vara Criminal da Comarca de Paranaguá - PR.</w:t>
      </w:r>
      <w:r/>
    </w:p>
  </w:footnote>
  <w:footnote w:id="18">
    <w:p>
      <w:pPr>
        <w:pStyle w:val="1101"/>
      </w:pPr>
      <w:r>
        <w:rPr>
          <w:rStyle w:val="1103"/>
        </w:rPr>
        <w:footnoteRef/>
      </w:r>
      <w:r>
        <w:t xml:space="preserve"> </w:t>
      </w:r>
      <w:r>
        <w:rPr>
          <w:color w:val="000000"/>
        </w:rPr>
        <w:t xml:space="preserve">Processo Nº 103 de 1978. Primeira Vara Criminal da Comarca de Paranaguá - PR.</w:t>
      </w:r>
      <w:r/>
    </w:p>
  </w:footnote>
  <w:footnote w:id="19">
    <w:p>
      <w:pPr>
        <w:ind w:left="-141" w:firstLine="141"/>
        <w:pBdr>
          <w:left w:val="none" w:color="000000" w:sz="4" w:space="0"/>
          <w:top w:val="none" w:color="000000" w:sz="4" w:space="0"/>
          <w:right w:val="none" w:color="000000" w:sz="4" w:space="0"/>
          <w:bottom w:val="none" w:color="000000" w:sz="4" w:space="0"/>
        </w:pBdr>
      </w:pPr>
      <w:r>
        <w:rPr>
          <w:rStyle w:val="1103"/>
        </w:rPr>
        <w:footnoteRef/>
      </w:r>
      <w:r>
        <w:t xml:space="preserve"> </w:t>
      </w:r>
      <w:r>
        <w:rPr>
          <w:color w:val="000000"/>
        </w:rPr>
        <w:t xml:space="preserve">Processo Nº 221 de 1979. Primeira Vara Criminal da Comarca de Paranaguá - PR.</w:t>
      </w:r>
      <w:r/>
    </w:p>
  </w:footnote>
  <w:footnote w:id="20">
    <w:p>
      <w:pPr>
        <w:pStyle w:val="1101"/>
        <w:jc w:val="both"/>
      </w:pPr>
      <w:r>
        <w:rPr>
          <w:rStyle w:val="1103"/>
        </w:rPr>
        <w:footnoteRef/>
      </w:r>
      <w:r>
        <w:t xml:space="preserve"> O termo designa o desvirginamento, p</w:t>
      </w:r>
      <w:r>
        <w:t xml:space="preserve">erda da virgindade. </w:t>
      </w:r>
      <w:r/>
    </w:p>
  </w:footnote>
  <w:footnote w:id="21">
    <w:p>
      <w:pPr>
        <w:pStyle w:val="1101"/>
      </w:pPr>
      <w:r>
        <w:rPr>
          <w:rStyle w:val="1103"/>
        </w:rPr>
        <w:footnoteRef/>
      </w:r>
      <w:r>
        <w:t xml:space="preserve"> </w:t>
      </w:r>
      <w:r>
        <w:rPr>
          <w:color w:val="000000"/>
        </w:rPr>
        <w:t xml:space="preserve">Processo Nº 78 de 1974. Primeira Vara Criminal da Comarca de Paranaguá - PR.</w:t>
      </w:r>
      <w:r/>
    </w:p>
  </w:footnote>
  <w:footnote w:id="22">
    <w:p>
      <w:pPr>
        <w:pStyle w:val="1101"/>
        <w:ind w:left="142" w:hanging="142"/>
        <w:jc w:val="both"/>
      </w:pPr>
      <w:r>
        <w:rPr>
          <w:rStyle w:val="1103"/>
        </w:rPr>
        <w:footnoteRef/>
      </w:r>
      <w:r>
        <w:t xml:space="preserve"> </w:t>
      </w:r>
      <w:r>
        <w:rPr>
          <w:color w:val="000000"/>
        </w:rPr>
        <w:t xml:space="preserve"> O que talvez não se aplique a prostituta, que n</w:t>
      </w:r>
      <w:r>
        <w:rPr>
          <w:color w:val="000000"/>
        </w:rPr>
        <w:t xml:space="preserve">ão faz parte das mulheres respeitadas – as guardiãs da honra.</w:t>
      </w:r>
      <w:r/>
    </w:p>
  </w:footnote>
  <w:footnote w:id="23">
    <w:p>
      <w:pPr>
        <w:pStyle w:val="1101"/>
        <w:jc w:val="both"/>
      </w:pPr>
      <w:r>
        <w:rPr>
          <w:rStyle w:val="1103"/>
        </w:rPr>
        <w:footnoteRef/>
      </w:r>
      <w:r>
        <w:t xml:space="preserve"> </w:t>
      </w:r>
      <w:r>
        <w:rPr>
          <w:color w:val="000000"/>
        </w:rPr>
        <w:t xml:space="preserve">Processo Nº 285 de 1975. Primeira Vara Criminal da Comarca de Paranaguá - PR.</w:t>
      </w:r>
      <w:r/>
    </w:p>
  </w:footnote>
  <w:footnote w:id="24">
    <w:p>
      <w:pPr>
        <w:pStyle w:val="1101"/>
        <w:ind w:left="142" w:hanging="142"/>
        <w:jc w:val="both"/>
      </w:pPr>
      <w:r>
        <w:rPr>
          <w:rStyle w:val="1103"/>
        </w:rPr>
        <w:footnoteRef/>
      </w:r>
      <w:r>
        <w:t xml:space="preserve"> </w:t>
      </w:r>
      <w:r>
        <w:rPr>
          <w:color w:val="000000"/>
        </w:rPr>
        <w:t xml:space="preserve">A</w:t>
      </w:r>
      <w:r>
        <w:rPr>
          <w:color w:val="000000"/>
          <w:highlight w:val="white"/>
        </w:rPr>
        <w:t xml:space="preserve">lém da posição permitir saber se a vítima havia reagido, também era uma forma de compreender se a vítima possuía conhecimento sexual, medindo sua ingenuidade, o que mais uma vez afasta o ato do crime de estupro e aproxima do defloramento (sedução, art. 217</w:t>
      </w:r>
      <w:r>
        <w:rPr>
          <w:color w:val="000000"/>
          <w:highlight w:val="white"/>
        </w:rPr>
        <w:t xml:space="preserve">), mesmo tendo a vítima afirmado que foi forçada a manter a relação.</w:t>
      </w:r>
      <w:r>
        <w:rPr>
          <w:rFonts w:ascii="Arial" w:hAnsi="Arial" w:cs="Arial" w:eastAsia="Arial"/>
          <w:color w:val="000000"/>
          <w:highlight w:val="white"/>
        </w:rPr>
        <w:t xml:space="preserve"> </w:t>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136"/>
      <w:jc w:val="center"/>
    </w:pPr>
    <w:r>
      <mc:AlternateContent>
        <mc:Choice Requires="wpg">
          <w:drawing>
            <wp:inline xmlns:wp="http://schemas.openxmlformats.org/drawingml/2006/wordprocessingDrawing" distT="0" distB="0" distL="0" distR="0">
              <wp:extent cx="5747372" cy="870852"/>
              <wp:effectExtent l="0" t="0" r="0" b="0"/>
              <wp:docPr id="1" name="" hidden="false"/>
              <wp:cNvGraphicFramePr/>
              <a:graphic xmlns:a="http://schemas.openxmlformats.org/drawingml/2006/main">
                <a:graphicData uri="http://schemas.openxmlformats.org/drawingml/2006/picture">
                  <pic:pic xmlns:pic="http://schemas.openxmlformats.org/drawingml/2006/picture">
                    <pic:nvPicPr>
                      <pic:cNvPr id="4" name="" hidden="0"/>
                      <pic:cNvPicPr/>
                      <pic:nvPr isPhoto="0" userDrawn="0"/>
                    </pic:nvPicPr>
                    <pic:blipFill>
                      <a:blip r:embed="rId1"/>
                      <a:stretch/>
                    </pic:blipFill>
                    <pic:spPr bwMode="auto">
                      <a:xfrm>
                        <a:off x="0" y="0"/>
                        <a:ext cx="5747372" cy="870852"/>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mso-wrap-distance-left:0.0pt;mso-wrap-distance-top:0.0pt;mso-wrap-distance-right:0.0pt;mso-wrap-distance-bottom:0.0pt;width:452.5pt;height:68.6pt;">
              <v:path textboxrect="0,0,0,0"/>
              <v:imagedata r:id="rId1" o:title=""/>
            </v:shape>
          </w:pict>
        </mc:Fallback>
      </mc:AlternateContent>
    </w:r>
    <w:r/>
  </w:p>
  <w:p>
    <w:pPr>
      <w:pStyle w:val="1136"/>
      <w:jc w:val="center"/>
    </w:pPr>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136"/>
    </w:pPr>
    <w: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136"/>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0"/>
      <w:numFmt w:val="decimal"/>
      <w:isLgl w:val="false"/>
      <w:suff w:val="tab"/>
      <w:lvlText w:val=""/>
      <w:lvlJc w:val="left"/>
      <w:pPr>
        <w:pStyle w:val="1117"/>
        <w:ind w:left="753" w:hanging="360"/>
      </w:pPr>
      <w:rPr>
        <w:rFonts w:ascii="Symbol" w:hAnsi="Symbol"/>
      </w:rPr>
    </w:lvl>
    <w:lvl w:ilvl="1">
      <w:start w:val="1"/>
      <w:numFmt w:val="decimal"/>
      <w:isLgl w:val="false"/>
      <w:suff w:val="tab"/>
      <w:lvlText w:val="%2."/>
      <w:lvlJc w:val="left"/>
      <w:pPr>
        <w:pStyle w:val="1117"/>
        <w:ind w:left="1440" w:hanging="360"/>
        <w:tabs>
          <w:tab w:val="num" w:pos="1440" w:leader="none"/>
        </w:tabs>
      </w:pPr>
    </w:lvl>
    <w:lvl w:ilvl="2">
      <w:start w:val="1"/>
      <w:numFmt w:val="decimal"/>
      <w:isLgl w:val="false"/>
      <w:suff w:val="tab"/>
      <w:lvlText w:val="%3."/>
      <w:lvlJc w:val="left"/>
      <w:pPr>
        <w:pStyle w:val="1117"/>
        <w:ind w:left="2160" w:hanging="360"/>
        <w:tabs>
          <w:tab w:val="num" w:pos="2160" w:leader="none"/>
        </w:tabs>
      </w:pPr>
    </w:lvl>
    <w:lvl w:ilvl="3">
      <w:start w:val="1"/>
      <w:numFmt w:val="decimal"/>
      <w:isLgl w:val="false"/>
      <w:suff w:val="tab"/>
      <w:lvlText w:val="%4."/>
      <w:lvlJc w:val="left"/>
      <w:pPr>
        <w:pStyle w:val="1117"/>
        <w:ind w:left="2880" w:hanging="360"/>
        <w:tabs>
          <w:tab w:val="num" w:pos="2880" w:leader="none"/>
        </w:tabs>
      </w:pPr>
    </w:lvl>
    <w:lvl w:ilvl="4">
      <w:start w:val="1"/>
      <w:numFmt w:val="decimal"/>
      <w:isLgl w:val="false"/>
      <w:suff w:val="tab"/>
      <w:lvlText w:val="%5."/>
      <w:lvlJc w:val="left"/>
      <w:pPr>
        <w:pStyle w:val="1117"/>
        <w:ind w:left="3600" w:hanging="360"/>
        <w:tabs>
          <w:tab w:val="num" w:pos="3600" w:leader="none"/>
        </w:tabs>
      </w:pPr>
    </w:lvl>
    <w:lvl w:ilvl="5">
      <w:start w:val="1"/>
      <w:numFmt w:val="decimal"/>
      <w:isLgl w:val="false"/>
      <w:suff w:val="tab"/>
      <w:lvlText w:val="%6."/>
      <w:lvlJc w:val="left"/>
      <w:pPr>
        <w:pStyle w:val="1117"/>
        <w:ind w:left="4320" w:hanging="360"/>
        <w:tabs>
          <w:tab w:val="num" w:pos="4320" w:leader="none"/>
        </w:tabs>
      </w:pPr>
    </w:lvl>
    <w:lvl w:ilvl="6">
      <w:start w:val="1"/>
      <w:numFmt w:val="decimal"/>
      <w:isLgl w:val="false"/>
      <w:suff w:val="tab"/>
      <w:lvlText w:val="%7."/>
      <w:lvlJc w:val="left"/>
      <w:pPr>
        <w:pStyle w:val="1117"/>
        <w:ind w:left="5040" w:hanging="360"/>
        <w:tabs>
          <w:tab w:val="num" w:pos="5040" w:leader="none"/>
        </w:tabs>
      </w:pPr>
    </w:lvl>
    <w:lvl w:ilvl="7">
      <w:start w:val="1"/>
      <w:numFmt w:val="decimal"/>
      <w:isLgl w:val="false"/>
      <w:suff w:val="tab"/>
      <w:lvlText w:val="%8."/>
      <w:lvlJc w:val="left"/>
      <w:pPr>
        <w:pStyle w:val="1117"/>
        <w:ind w:left="5760" w:hanging="360"/>
        <w:tabs>
          <w:tab w:val="num" w:pos="5760" w:leader="none"/>
        </w:tabs>
      </w:pPr>
    </w:lvl>
    <w:lvl w:ilvl="8">
      <w:start w:val="1"/>
      <w:numFmt w:val="decimal"/>
      <w:isLgl w:val="false"/>
      <w:suff w:val="tab"/>
      <w:lvlText w:val="%9."/>
      <w:lvlJc w:val="left"/>
      <w:pPr>
        <w:pStyle w:val="1117"/>
        <w:ind w:left="6480" w:hanging="360"/>
        <w:tabs>
          <w:tab w:val="num" w:pos="6480" w:leader="none"/>
        </w:tabs>
      </w:pPr>
    </w:lvl>
  </w:abstractNum>
  <w:num w:numId="1">
    <w:abstractNumId w:val="0"/>
  </w:num>
</w:numbering>
</file>

<file path=word/settings.xml><?xml version="1.0" encoding="utf-8"?>
<w:settings xmlns:w="http://schemas.openxmlformats.org/wordprocessingml/2006/main" xmlns:m="http://schemas.openxmlformats.org/officeDocument/2006/math" xmlns:o="urn:schemas-microsoft-com:office:office" xmlns:v="urn:schemas-microsoft-com:vml">
  <w:clrSchemeMapping w:accent1="accent1" w:accent2="accent2" w:accent3="accent3" w:accent4="accent4" w:accent5="accent5" w:accent6="accent6" w:bg1="light1" w:bg2="light2" w:followedHyperlink="followedHyperlink" w:hyperlink="hyperlink" w:t1="dark1" w:t2="dark2"/>
  <w:defaultTabStop w:val="708"/>
  <m:mathPr/>
  <w:trackRevisions w:val="false"/>
  <w:footnotePr>
    <w:footnote w:id="-1"/>
    <w:footnote w:id="0"/>
    <w:numFmt w:val="decimal"/>
    <w:numRestart w:val="continuous"/>
    <w:numStart w:val="1"/>
    <w:pos w:val="pageBottom"/>
  </w:footnotePr>
  <w:endnotePr>
    <w:endnote w:id="-1"/>
    <w:endnote w:id="0"/>
    <w:numFmt w:val="lowerRoman"/>
    <w:numRestart w:val="continuous"/>
    <w:numStart w:val="1"/>
    <w:pos w:val="docEnd"/>
  </w:endnotePr>
  <w:compat>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zoom w:percent="100"/>
  <w:characterSpacingControl w:val="doNotCompress"/>
  <w:themeFontLang w:val="en-US" w:eastAsia="zh-CN"/>
  <w:shapeDefaults>
    <o:shapedefaults v:ext="edit" spidmax="1026"/>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lang w:val="pt-BR" w:bidi="ar-SA" w:eastAsia="zh-CN"/>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941">
    <w:name w:val="Heading 1"/>
    <w:basedOn w:val="1117"/>
    <w:next w:val="1117"/>
    <w:link w:val="942"/>
    <w:qFormat/>
    <w:uiPriority w:val="9"/>
    <w:rPr>
      <w:rFonts w:ascii="Arial" w:hAnsi="Arial" w:cs="Arial" w:eastAsia="Arial"/>
      <w:sz w:val="40"/>
      <w:szCs w:val="40"/>
    </w:rPr>
    <w:pPr>
      <w:keepLines/>
      <w:keepNext/>
      <w:spacing w:after="200" w:before="480"/>
      <w:outlineLvl w:val="0"/>
    </w:pPr>
  </w:style>
  <w:style w:type="character" w:styleId="942">
    <w:name w:val="Heading 1 Char"/>
    <w:link w:val="941"/>
    <w:uiPriority w:val="9"/>
    <w:rPr>
      <w:rFonts w:ascii="Arial" w:hAnsi="Arial" w:cs="Arial" w:eastAsia="Arial"/>
      <w:sz w:val="40"/>
      <w:szCs w:val="40"/>
    </w:rPr>
  </w:style>
  <w:style w:type="paragraph" w:styleId="943">
    <w:name w:val="Heading 2"/>
    <w:basedOn w:val="1117"/>
    <w:next w:val="1117"/>
    <w:link w:val="944"/>
    <w:qFormat/>
    <w:uiPriority w:val="9"/>
    <w:unhideWhenUsed/>
    <w:rPr>
      <w:rFonts w:ascii="Arial" w:hAnsi="Arial" w:cs="Arial" w:eastAsia="Arial"/>
      <w:sz w:val="34"/>
    </w:rPr>
    <w:pPr>
      <w:keepLines/>
      <w:keepNext/>
      <w:spacing w:after="200" w:before="360"/>
      <w:outlineLvl w:val="1"/>
    </w:pPr>
  </w:style>
  <w:style w:type="character" w:styleId="944">
    <w:name w:val="Heading 2 Char"/>
    <w:link w:val="943"/>
    <w:uiPriority w:val="9"/>
    <w:rPr>
      <w:rFonts w:ascii="Arial" w:hAnsi="Arial" w:cs="Arial" w:eastAsia="Arial"/>
      <w:sz w:val="34"/>
    </w:rPr>
  </w:style>
  <w:style w:type="paragraph" w:styleId="945">
    <w:name w:val="Heading 3"/>
    <w:basedOn w:val="1117"/>
    <w:next w:val="1117"/>
    <w:link w:val="946"/>
    <w:qFormat/>
    <w:uiPriority w:val="9"/>
    <w:unhideWhenUsed/>
    <w:rPr>
      <w:rFonts w:ascii="Arial" w:hAnsi="Arial" w:cs="Arial" w:eastAsia="Arial"/>
      <w:sz w:val="30"/>
      <w:szCs w:val="30"/>
    </w:rPr>
    <w:pPr>
      <w:keepLines/>
      <w:keepNext/>
      <w:spacing w:after="200" w:before="320"/>
      <w:outlineLvl w:val="2"/>
    </w:pPr>
  </w:style>
  <w:style w:type="character" w:styleId="946">
    <w:name w:val="Heading 3 Char"/>
    <w:link w:val="945"/>
    <w:uiPriority w:val="9"/>
    <w:rPr>
      <w:rFonts w:ascii="Arial" w:hAnsi="Arial" w:cs="Arial" w:eastAsia="Arial"/>
      <w:sz w:val="30"/>
      <w:szCs w:val="30"/>
    </w:rPr>
  </w:style>
  <w:style w:type="paragraph" w:styleId="947">
    <w:name w:val="Heading 4"/>
    <w:basedOn w:val="1117"/>
    <w:next w:val="1117"/>
    <w:link w:val="948"/>
    <w:qFormat/>
    <w:uiPriority w:val="9"/>
    <w:unhideWhenUsed/>
    <w:rPr>
      <w:rFonts w:ascii="Arial" w:hAnsi="Arial" w:cs="Arial" w:eastAsia="Arial"/>
      <w:b/>
      <w:bCs/>
      <w:sz w:val="26"/>
      <w:szCs w:val="26"/>
    </w:rPr>
    <w:pPr>
      <w:keepLines/>
      <w:keepNext/>
      <w:spacing w:after="200" w:before="320"/>
      <w:outlineLvl w:val="3"/>
    </w:pPr>
  </w:style>
  <w:style w:type="character" w:styleId="948">
    <w:name w:val="Heading 4 Char"/>
    <w:link w:val="947"/>
    <w:uiPriority w:val="9"/>
    <w:rPr>
      <w:rFonts w:ascii="Arial" w:hAnsi="Arial" w:cs="Arial" w:eastAsia="Arial"/>
      <w:b/>
      <w:bCs/>
      <w:sz w:val="26"/>
      <w:szCs w:val="26"/>
    </w:rPr>
  </w:style>
  <w:style w:type="paragraph" w:styleId="949">
    <w:name w:val="Heading 5"/>
    <w:basedOn w:val="1117"/>
    <w:next w:val="1117"/>
    <w:link w:val="950"/>
    <w:qFormat/>
    <w:uiPriority w:val="9"/>
    <w:unhideWhenUsed/>
    <w:rPr>
      <w:rFonts w:ascii="Arial" w:hAnsi="Arial" w:cs="Arial" w:eastAsia="Arial"/>
      <w:b/>
      <w:bCs/>
      <w:sz w:val="24"/>
      <w:szCs w:val="24"/>
    </w:rPr>
    <w:pPr>
      <w:keepLines/>
      <w:keepNext/>
      <w:spacing w:after="200" w:before="320"/>
      <w:outlineLvl w:val="4"/>
    </w:pPr>
  </w:style>
  <w:style w:type="character" w:styleId="950">
    <w:name w:val="Heading 5 Char"/>
    <w:link w:val="949"/>
    <w:uiPriority w:val="9"/>
    <w:rPr>
      <w:rFonts w:ascii="Arial" w:hAnsi="Arial" w:cs="Arial" w:eastAsia="Arial"/>
      <w:b/>
      <w:bCs/>
      <w:sz w:val="24"/>
      <w:szCs w:val="24"/>
    </w:rPr>
  </w:style>
  <w:style w:type="paragraph" w:styleId="951">
    <w:name w:val="Heading 6"/>
    <w:basedOn w:val="1117"/>
    <w:next w:val="1117"/>
    <w:link w:val="952"/>
    <w:qFormat/>
    <w:uiPriority w:val="9"/>
    <w:unhideWhenUsed/>
    <w:rPr>
      <w:rFonts w:ascii="Arial" w:hAnsi="Arial" w:cs="Arial" w:eastAsia="Arial"/>
      <w:b/>
      <w:bCs/>
      <w:sz w:val="22"/>
      <w:szCs w:val="22"/>
    </w:rPr>
    <w:pPr>
      <w:keepLines/>
      <w:keepNext/>
      <w:spacing w:after="200" w:before="320"/>
      <w:outlineLvl w:val="5"/>
    </w:pPr>
  </w:style>
  <w:style w:type="character" w:styleId="952">
    <w:name w:val="Heading 6 Char"/>
    <w:link w:val="951"/>
    <w:uiPriority w:val="9"/>
    <w:rPr>
      <w:rFonts w:ascii="Arial" w:hAnsi="Arial" w:cs="Arial" w:eastAsia="Arial"/>
      <w:b/>
      <w:bCs/>
      <w:sz w:val="22"/>
      <w:szCs w:val="22"/>
    </w:rPr>
  </w:style>
  <w:style w:type="paragraph" w:styleId="953">
    <w:name w:val="Heading 7"/>
    <w:basedOn w:val="1117"/>
    <w:next w:val="1117"/>
    <w:link w:val="954"/>
    <w:qFormat/>
    <w:uiPriority w:val="9"/>
    <w:unhideWhenUsed/>
    <w:rPr>
      <w:rFonts w:ascii="Arial" w:hAnsi="Arial" w:cs="Arial" w:eastAsia="Arial"/>
      <w:b/>
      <w:bCs/>
      <w:i/>
      <w:iCs/>
      <w:sz w:val="22"/>
      <w:szCs w:val="22"/>
    </w:rPr>
    <w:pPr>
      <w:keepLines/>
      <w:keepNext/>
      <w:spacing w:after="200" w:before="320"/>
      <w:outlineLvl w:val="6"/>
    </w:pPr>
  </w:style>
  <w:style w:type="character" w:styleId="954">
    <w:name w:val="Heading 7 Char"/>
    <w:link w:val="953"/>
    <w:uiPriority w:val="9"/>
    <w:rPr>
      <w:rFonts w:ascii="Arial" w:hAnsi="Arial" w:cs="Arial" w:eastAsia="Arial"/>
      <w:b/>
      <w:bCs/>
      <w:i/>
      <w:iCs/>
      <w:sz w:val="22"/>
      <w:szCs w:val="22"/>
    </w:rPr>
  </w:style>
  <w:style w:type="paragraph" w:styleId="955">
    <w:name w:val="Heading 8"/>
    <w:basedOn w:val="1117"/>
    <w:next w:val="1117"/>
    <w:link w:val="956"/>
    <w:qFormat/>
    <w:uiPriority w:val="9"/>
    <w:unhideWhenUsed/>
    <w:rPr>
      <w:rFonts w:ascii="Arial" w:hAnsi="Arial" w:cs="Arial" w:eastAsia="Arial"/>
      <w:i/>
      <w:iCs/>
      <w:sz w:val="22"/>
      <w:szCs w:val="22"/>
    </w:rPr>
    <w:pPr>
      <w:keepLines/>
      <w:keepNext/>
      <w:spacing w:after="200" w:before="320"/>
      <w:outlineLvl w:val="7"/>
    </w:pPr>
  </w:style>
  <w:style w:type="character" w:styleId="956">
    <w:name w:val="Heading 8 Char"/>
    <w:link w:val="955"/>
    <w:uiPriority w:val="9"/>
    <w:rPr>
      <w:rFonts w:ascii="Arial" w:hAnsi="Arial" w:cs="Arial" w:eastAsia="Arial"/>
      <w:i/>
      <w:iCs/>
      <w:sz w:val="22"/>
      <w:szCs w:val="22"/>
    </w:rPr>
  </w:style>
  <w:style w:type="paragraph" w:styleId="957">
    <w:name w:val="Heading 9"/>
    <w:basedOn w:val="1117"/>
    <w:next w:val="1117"/>
    <w:link w:val="958"/>
    <w:qFormat/>
    <w:uiPriority w:val="9"/>
    <w:unhideWhenUsed/>
    <w:rPr>
      <w:rFonts w:ascii="Arial" w:hAnsi="Arial" w:cs="Arial" w:eastAsia="Arial"/>
      <w:i/>
      <w:iCs/>
      <w:sz w:val="21"/>
      <w:szCs w:val="21"/>
    </w:rPr>
    <w:pPr>
      <w:keepLines/>
      <w:keepNext/>
      <w:spacing w:after="200" w:before="320"/>
      <w:outlineLvl w:val="8"/>
    </w:pPr>
  </w:style>
  <w:style w:type="character" w:styleId="958">
    <w:name w:val="Heading 9 Char"/>
    <w:link w:val="957"/>
    <w:uiPriority w:val="9"/>
    <w:rPr>
      <w:rFonts w:ascii="Arial" w:hAnsi="Arial" w:cs="Arial" w:eastAsia="Arial"/>
      <w:i/>
      <w:iCs/>
      <w:sz w:val="21"/>
      <w:szCs w:val="21"/>
    </w:rPr>
  </w:style>
  <w:style w:type="paragraph" w:styleId="959">
    <w:name w:val="List Paragraph"/>
    <w:basedOn w:val="1117"/>
    <w:qFormat/>
    <w:uiPriority w:val="34"/>
    <w:pPr>
      <w:contextualSpacing w:val="true"/>
      <w:ind w:left="720"/>
    </w:pPr>
  </w:style>
  <w:style w:type="paragraph" w:styleId="960">
    <w:name w:val="No Spacing"/>
    <w:qFormat/>
    <w:uiPriority w:val="1"/>
    <w:pPr>
      <w:spacing w:lineRule="auto" w:line="240" w:after="0" w:before="0"/>
    </w:pPr>
  </w:style>
  <w:style w:type="paragraph" w:styleId="961">
    <w:name w:val="Title"/>
    <w:basedOn w:val="1117"/>
    <w:next w:val="1117"/>
    <w:link w:val="962"/>
    <w:qFormat/>
    <w:uiPriority w:val="10"/>
    <w:rPr>
      <w:sz w:val="48"/>
      <w:szCs w:val="48"/>
    </w:rPr>
    <w:pPr>
      <w:contextualSpacing w:val="true"/>
      <w:spacing w:after="200" w:before="300"/>
    </w:pPr>
  </w:style>
  <w:style w:type="character" w:styleId="962">
    <w:name w:val="Title Char"/>
    <w:link w:val="961"/>
    <w:uiPriority w:val="10"/>
    <w:rPr>
      <w:sz w:val="48"/>
      <w:szCs w:val="48"/>
    </w:rPr>
  </w:style>
  <w:style w:type="paragraph" w:styleId="963">
    <w:name w:val="Subtitle"/>
    <w:basedOn w:val="1117"/>
    <w:next w:val="1117"/>
    <w:link w:val="964"/>
    <w:qFormat/>
    <w:uiPriority w:val="11"/>
    <w:rPr>
      <w:sz w:val="24"/>
      <w:szCs w:val="24"/>
    </w:rPr>
    <w:pPr>
      <w:spacing w:after="200" w:before="200"/>
    </w:pPr>
  </w:style>
  <w:style w:type="character" w:styleId="964">
    <w:name w:val="Subtitle Char"/>
    <w:link w:val="963"/>
    <w:uiPriority w:val="11"/>
    <w:rPr>
      <w:sz w:val="24"/>
      <w:szCs w:val="24"/>
    </w:rPr>
  </w:style>
  <w:style w:type="paragraph" w:styleId="965">
    <w:name w:val="Quote"/>
    <w:basedOn w:val="1117"/>
    <w:next w:val="1117"/>
    <w:link w:val="966"/>
    <w:qFormat/>
    <w:uiPriority w:val="29"/>
    <w:rPr>
      <w:i/>
    </w:rPr>
    <w:pPr>
      <w:ind w:left="720" w:right="720"/>
    </w:pPr>
  </w:style>
  <w:style w:type="character" w:styleId="966">
    <w:name w:val="Quote Char"/>
    <w:link w:val="965"/>
    <w:uiPriority w:val="29"/>
    <w:rPr>
      <w:i/>
    </w:rPr>
  </w:style>
  <w:style w:type="paragraph" w:styleId="967">
    <w:name w:val="Intense Quote"/>
    <w:basedOn w:val="1117"/>
    <w:next w:val="1117"/>
    <w:link w:val="968"/>
    <w:qFormat/>
    <w:uiPriority w:val="30"/>
    <w:rPr>
      <w:i/>
    </w:rPr>
    <w:pPr>
      <w:contextualSpacing w:val="false"/>
      <w:ind w:left="720" w:right="720"/>
      <w:shd w:val="clear" w:fill="F2F2F2" w:color="F2F2F2"/>
      <w:pBdr>
        <w:left w:val="single" w:color="FFFFFF" w:sz="4" w:space="10"/>
        <w:top w:val="single" w:color="FFFFFF" w:sz="4" w:space="5"/>
        <w:right w:val="single" w:color="FFFFFF" w:sz="4" w:space="10"/>
        <w:bottom w:val="single" w:color="FFFFFF" w:sz="4" w:space="5"/>
      </w:pBdr>
    </w:pPr>
  </w:style>
  <w:style w:type="character" w:styleId="968">
    <w:name w:val="Intense Quote Char"/>
    <w:link w:val="967"/>
    <w:uiPriority w:val="30"/>
    <w:rPr>
      <w:i/>
    </w:rPr>
  </w:style>
  <w:style w:type="paragraph" w:styleId="969">
    <w:name w:val="Header"/>
    <w:basedOn w:val="1117"/>
    <w:link w:val="970"/>
    <w:uiPriority w:val="99"/>
    <w:unhideWhenUsed/>
    <w:pPr>
      <w:spacing w:lineRule="auto" w:line="240" w:after="0"/>
      <w:tabs>
        <w:tab w:val="center" w:pos="7143" w:leader="none"/>
        <w:tab w:val="right" w:pos="14287" w:leader="none"/>
      </w:tabs>
    </w:pPr>
  </w:style>
  <w:style w:type="character" w:styleId="970">
    <w:name w:val="Header Char"/>
    <w:link w:val="969"/>
    <w:uiPriority w:val="99"/>
  </w:style>
  <w:style w:type="paragraph" w:styleId="971">
    <w:name w:val="Footer"/>
    <w:basedOn w:val="1117"/>
    <w:link w:val="974"/>
    <w:uiPriority w:val="99"/>
    <w:unhideWhenUsed/>
    <w:pPr>
      <w:spacing w:lineRule="auto" w:line="240" w:after="0"/>
      <w:tabs>
        <w:tab w:val="center" w:pos="7143" w:leader="none"/>
        <w:tab w:val="right" w:pos="14287" w:leader="none"/>
      </w:tabs>
    </w:pPr>
  </w:style>
  <w:style w:type="character" w:styleId="972">
    <w:name w:val="Footer Char"/>
    <w:link w:val="971"/>
    <w:uiPriority w:val="99"/>
  </w:style>
  <w:style w:type="paragraph" w:styleId="973">
    <w:name w:val="Caption"/>
    <w:basedOn w:val="1117"/>
    <w:next w:val="1117"/>
    <w:qFormat/>
    <w:uiPriority w:val="35"/>
    <w:semiHidden/>
    <w:unhideWhenUsed/>
    <w:rPr>
      <w:b/>
      <w:bCs/>
      <w:color w:val="4F81BD" w:themeColor="accent1"/>
      <w:sz w:val="18"/>
      <w:szCs w:val="18"/>
    </w:rPr>
    <w:pPr>
      <w:spacing w:lineRule="auto" w:line="276"/>
    </w:pPr>
  </w:style>
  <w:style w:type="character" w:styleId="974">
    <w:name w:val="Caption Char"/>
    <w:basedOn w:val="973"/>
    <w:link w:val="971"/>
    <w:uiPriority w:val="99"/>
  </w:style>
  <w:style w:type="table" w:styleId="975">
    <w:name w:val="Table Grid"/>
    <w:uiPriority w:val="59"/>
    <w:pPr>
      <w:spacing w:lineRule="auto" w:line="240" w:after="0"/>
    </w:pPr>
    <w:tblPr>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Pr>
  </w:style>
  <w:style w:type="table" w:styleId="976">
    <w:name w:val="Table Grid Light"/>
    <w:uiPriority w:val="59"/>
    <w:pPr>
      <w:spacing w:lineRule="auto" w:line="240" w:after="0"/>
    </w:pPr>
    <w:tblPr>
      <w:tblInd w:w="0" w:type="dxa"/>
      <w:tblBorders>
        <w:left w:val="single" w:color="000000" w:sz="4" w:space="0" w:themeColor="text1" w:themeTint="50"/>
        <w:top w:val="single" w:color="000000" w:sz="4" w:space="0" w:themeColor="text1" w:themeTint="50"/>
        <w:right w:val="single" w:color="000000" w:sz="4" w:space="0" w:themeColor="text1" w:themeTint="50"/>
        <w:bottom w:val="single" w:color="000000" w:sz="4" w:space="0" w:themeColor="text1" w:themeTint="50"/>
        <w:insideV w:val="single" w:color="000000" w:sz="4" w:space="0" w:themeColor="text1" w:themeTint="50"/>
        <w:insideH w:val="single" w:color="000000" w:sz="4" w:space="0" w:themeColor="text1" w:themeTint="50"/>
      </w:tblBorders>
      <w:tblCellMar>
        <w:left w:w="108" w:type="dxa"/>
        <w:top w:w="0" w:type="dxa"/>
        <w:right w:w="108" w:type="dxa"/>
        <w:bottom w:w="0" w:type="dxa"/>
      </w:tblCellMar>
    </w:tblPr>
  </w:style>
  <w:style w:type="table" w:styleId="977">
    <w:name w:val="Plain Table 1"/>
    <w:uiPriority w:val="59"/>
    <w:pPr>
      <w:spacing w:lineRule="auto" w:line="240" w:after="0"/>
    </w:pPr>
    <w:tblPr>
      <w:tblInd w:w="0" w:type="dxa"/>
      <w:tblBorders>
        <w:left w:val="single" w:color="000000" w:sz="4" w:space="0" w:themeColor="text1" w:themeTint="50"/>
        <w:top w:val="single" w:color="000000" w:sz="4" w:space="0" w:themeColor="text1" w:themeTint="50"/>
        <w:right w:val="single" w:color="000000" w:sz="4" w:space="0" w:themeColor="text1" w:themeTint="50"/>
        <w:bottom w:val="single" w:color="000000" w:sz="4" w:space="0" w:themeColor="text1" w:themeTint="50"/>
        <w:insideV w:val="single" w:color="000000" w:sz="4" w:space="0" w:themeColor="text1" w:themeTint="50"/>
        <w:insideH w:val="single" w:color="000000" w:sz="4" w:space="0" w:themeColor="text1" w:themeTint="50"/>
      </w:tblBorders>
      <w:tblCellMar>
        <w:left w:w="108" w:type="dxa"/>
        <w:top w:w="0" w:type="dxa"/>
        <w:right w:w="108" w:type="dxa"/>
        <w:bottom w:w="0" w:type="dxa"/>
      </w:tblCellMar>
    </w:tblPr>
    <w:tblStylePr w:type="band1Horz">
      <w:tcPr>
        <w:shd w:val="clear" w:fill="FFFFFF" w:color="FFFFFF" w:themeFill="text1" w:themeFillTint="0D"/>
      </w:tcPr>
    </w:tblStylePr>
    <w:tblStylePr w:type="band1Vert">
      <w:tcPr>
        <w:shd w:val="clear" w:fill="FFFFFF" w:color="FFFFFF"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978">
    <w:name w:val="Plain Table 2"/>
    <w:uiPriority w:val="59"/>
    <w:pPr>
      <w:spacing w:lineRule="auto" w:line="240" w:after="0"/>
    </w:pPr>
    <w:tblPr>
      <w:tblInd w:w="0" w:type="dxa"/>
      <w:tblBorders>
        <w:left w:val="none" w:color="000000" w:sz="4" w:space="0" w:themeColor="text1"/>
        <w:top w:val="single" w:color="000000" w:sz="4" w:space="0" w:themeColor="text1"/>
        <w:right w:val="none" w:color="000000" w:sz="4" w:space="0" w:themeColor="text1"/>
        <w:bottom w:val="single" w:color="000000" w:sz="4" w:space="0" w:themeColor="text1"/>
      </w:tblBorders>
      <w:tblCellMar>
        <w:left w:w="108" w:type="dxa"/>
        <w:top w:w="0" w:type="dxa"/>
        <w:right w:w="108" w:type="dxa"/>
        <w:bottom w:w="0" w:type="dxa"/>
      </w:tblCellMar>
    </w:tblPr>
    <w:tblStylePr w:type="band1Horz">
      <w:tcPr>
        <w:tcBorders>
          <w:top w:val="single" w:color="000000" w:sz="4" w:space="0" w:themeColor="text1"/>
          <w:bottom w:val="single" w:color="000000" w:sz="4" w:space="0" w:themeColor="text1"/>
        </w:tcBorders>
      </w:tcPr>
    </w:tblStylePr>
    <w:tblStylePr w:type="band1Vert">
      <w:tcPr>
        <w:tcBorders>
          <w:left w:val="single" w:color="000000" w:sz="4" w:space="0" w:themeColor="text1"/>
          <w:right w:val="single" w:color="000000" w:sz="4" w:space="0" w:themeColor="text1"/>
        </w:tcBorders>
      </w:tcPr>
    </w:tblStylePr>
    <w:tblStylePr w:type="band2Vert">
      <w:tcPr>
        <w:tcBorders>
          <w:left w:val="single" w:color="000000" w:sz="4" w:space="0" w:themeColor="text1"/>
          <w:right w:val="single" w:color="000000" w:sz="4" w:space="0" w:themeColor="text1"/>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sz="4" w:space="0" w:themeColor="text1"/>
          <w:bottom w:val="single" w:color="000000" w:sz="4" w:space="0" w:themeColor="text1"/>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979">
    <w:name w:val="Plain Table 3"/>
    <w:uiPriority w:val="99"/>
    <w:pPr>
      <w:spacing w:lineRule="auto" w:line="240" w:after="0"/>
    </w:pPr>
    <w:tblPr>
      <w:tblStyleRowBandSize w:val="1"/>
      <w:tblStyleColBandSize w:val="1"/>
      <w:tblInd w:w="0" w:type="dxa"/>
    </w:tblPr>
    <w:tblStylePr w:type="band1Horz">
      <w:rPr>
        <w:rFonts w:ascii="Arial" w:hAnsi="Arial"/>
        <w:color w:val="404040"/>
        <w:sz w:val="22"/>
      </w:rPr>
      <w:tcPr>
        <w:shd w:val="clear" w:fill="FFFFFF" w:color="FFFFFF" w:themeFill="text1" w:themeFillTint="0D"/>
      </w:tcPr>
    </w:tblStylePr>
    <w:tblStylePr w:type="band1Vert">
      <w:rPr>
        <w:rFonts w:ascii="Arial" w:hAnsi="Arial"/>
        <w:color w:val="404040"/>
        <w:sz w:val="22"/>
      </w:rPr>
      <w:tcPr>
        <w:shd w:val="clear" w:fill="FFFFFF" w:color="FFFFFF" w:themeFill="text1" w:themeFillTint="0D"/>
      </w:tcPr>
    </w:tblStylePr>
    <w:tblStylePr w:type="firstCol">
      <w:rPr>
        <w:b/>
        <w:caps/>
        <w:color w:val="404040"/>
      </w:rPr>
      <w:tcPr>
        <w:tcBorders>
          <w:left w:val="none" w:color="000000" w:sz="4" w:space="0"/>
          <w:top w:val="none" w:color="000000" w:sz="4" w:space="0"/>
          <w:right w:val="single" w:color="404040" w:sz="4" w:space="0"/>
          <w:bottom w:val="none" w:color="000000" w:sz="4" w:space="0"/>
        </w:tcBorders>
      </w:tcPr>
    </w:tblStylePr>
    <w:tblStylePr w:type="firstRow">
      <w:rPr>
        <w:b/>
        <w:caps/>
        <w:color w:val="404040"/>
      </w:rPr>
      <w:tcPr>
        <w:tcBorders>
          <w:left w:val="none" w:color="000000" w:sz="4" w:space="0"/>
          <w:top w:val="none" w:color="000000" w:sz="4" w:space="0"/>
          <w:right w:val="none" w:color="000000" w:sz="4" w:space="0"/>
          <w:bottom w:val="single" w:color="404040" w:sz="4" w:space="0"/>
        </w:tcBorders>
      </w:tcPr>
    </w:tblStylePr>
    <w:tblStylePr w:type="lastCol">
      <w:rPr>
        <w:b/>
        <w:caps/>
        <w:color w:val="404040"/>
      </w:rPr>
    </w:tblStylePr>
    <w:tblStylePr w:type="lastRow">
      <w:rPr>
        <w:b/>
        <w:caps/>
        <w:color w:val="404040"/>
      </w:rPr>
    </w:tblStylePr>
  </w:style>
  <w:style w:type="table" w:styleId="980">
    <w:name w:val="Plain Table 4"/>
    <w:uiPriority w:val="99"/>
    <w:pPr>
      <w:spacing w:lineRule="auto" w:line="240" w:after="0"/>
    </w:pPr>
    <w:tblPr>
      <w:tblStyleRowBandSize w:val="1"/>
      <w:tblStyleColBandSize w:val="1"/>
      <w:tblInd w:w="0" w:type="dxa"/>
    </w:tblPr>
    <w:tblStylePr w:type="band1Horz">
      <w:rPr>
        <w:rFonts w:ascii="Arial" w:hAnsi="Arial"/>
        <w:color w:val="404040"/>
        <w:sz w:val="22"/>
      </w:rPr>
      <w:tcPr>
        <w:shd w:val="clear" w:fill="FFFFFF" w:color="FFFFFF" w:themeFill="text1" w:themeFillTint="0D"/>
      </w:tcPr>
    </w:tblStylePr>
    <w:tblStylePr w:type="band1Vert">
      <w:rPr>
        <w:rFonts w:ascii="Arial" w:hAnsi="Arial"/>
        <w:color w:val="404040"/>
        <w:sz w:val="22"/>
      </w:rPr>
      <w:tcPr>
        <w:shd w:val="clear" w:fill="FFFFFF" w:color="FFFFFF"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981">
    <w:name w:val="Plain Table 5"/>
    <w:uiPriority w:val="99"/>
    <w:pPr>
      <w:spacing w:lineRule="auto" w:line="240" w:after="0"/>
    </w:pPr>
    <w:tblPr>
      <w:tblStyleRowBandSize w:val="1"/>
      <w:tblStyleColBandSize w:val="1"/>
      <w:tblInd w:w="0" w:type="dxa"/>
    </w:tblPr>
    <w:tblStylePr w:type="band1Horz">
      <w:rPr>
        <w:rFonts w:ascii="Arial" w:hAnsi="Arial"/>
        <w:color w:val="404040"/>
        <w:sz w:val="22"/>
      </w:rPr>
      <w:tcPr>
        <w:shd w:val="clear" w:fill="FFFFFF" w:color="FFFFFF" w:themeFill="text1" w:themeFillTint="0D"/>
      </w:tcPr>
    </w:tblStylePr>
    <w:tblStylePr w:type="band1Vert">
      <w:rPr>
        <w:rFonts w:ascii="Arial" w:hAnsi="Arial"/>
        <w:color w:val="404040"/>
        <w:sz w:val="22"/>
      </w:rPr>
      <w:tcPr>
        <w:shd w:val="clear" w:fill="FFFFFF" w:color="FFFFFF" w:themeFill="text1" w:themeFillTint="0D"/>
      </w:tcPr>
    </w:tblStylePr>
    <w:tblStylePr w:type="firstCol">
      <w:rPr>
        <w:i/>
        <w:color w:val="404040"/>
      </w:rPr>
      <w:pPr>
        <w:jc w:val="right"/>
      </w:pPr>
      <w:tcPr>
        <w:shd w:val="clear" w:fill="FFFFFF" w:color="FFFFFF"/>
        <w:tcBorders>
          <w:right w:val="single" w:color="404040" w:sz="4" w:space="0"/>
        </w:tcBorders>
      </w:tcPr>
    </w:tblStylePr>
    <w:tblStylePr w:type="firstRow">
      <w:rPr>
        <w:i/>
        <w:color w:val="404040"/>
      </w:rPr>
      <w:tcPr>
        <w:shd w:val="clear" w:fill="FFFFFF" w:color="FFFFFF"/>
        <w:tcBorders>
          <w:left w:val="none" w:color="000000" w:sz="4" w:space="0"/>
          <w:right w:val="none" w:color="000000" w:sz="4" w:space="0"/>
          <w:bottom w:val="single" w:color="404040" w:sz="4" w:space="0"/>
        </w:tcBorders>
      </w:tcPr>
    </w:tblStylePr>
    <w:tblStylePr w:type="lastCol">
      <w:rPr>
        <w:i/>
        <w:color w:val="404040"/>
      </w:rPr>
      <w:tcPr>
        <w:shd w:val="clear" w:fill="FFFFFF" w:color="FFFFFF"/>
        <w:tcBorders>
          <w:left w:val="single" w:color="404040" w:sz="4" w:space="0"/>
        </w:tcBorders>
      </w:tcPr>
    </w:tblStylePr>
    <w:tblStylePr w:type="lastRow">
      <w:rPr>
        <w:i/>
        <w:color w:val="404040"/>
      </w:rPr>
      <w:tcPr>
        <w:shd w:val="clear" w:fill="FFFFFF" w:color="FFFFFF"/>
        <w:tcBorders>
          <w:left w:val="none" w:color="000000" w:sz="4" w:space="0"/>
          <w:top w:val="single" w:color="404040" w:sz="4" w:space="0"/>
          <w:right w:val="none" w:color="000000" w:sz="4" w:space="0"/>
        </w:tcBorders>
      </w:tcPr>
    </w:tblStylePr>
  </w:style>
  <w:style w:type="table" w:styleId="982">
    <w:name w:val="Grid Table 1 Light"/>
    <w:uiPriority w:val="99"/>
    <w:pPr>
      <w:spacing w:lineRule="auto" w:line="240" w:after="0"/>
    </w:pPr>
    <w:tblPr>
      <w:tblStyleRowBandSize w:val="1"/>
      <w:tblStyleColBandSize w:val="1"/>
      <w:tblInd w:w="0" w:type="dxa"/>
      <w:tblBorders>
        <w:left w:val="single" w:color="000000" w:sz="4" w:space="0" w:themeColor="text1" w:themeTint="67"/>
        <w:top w:val="single" w:color="000000" w:sz="4" w:space="0" w:themeColor="text1" w:themeTint="67"/>
        <w:right w:val="single" w:color="000000" w:sz="4" w:space="0" w:themeColor="text1" w:themeTint="67"/>
        <w:bottom w:val="single" w:color="000000" w:sz="4" w:space="0" w:themeColor="text1" w:themeTint="67"/>
        <w:insideV w:val="single" w:color="000000" w:sz="4" w:space="0" w:themeColor="text1" w:themeTint="67"/>
        <w:insideH w:val="single" w:color="000000" w:sz="4" w:space="0" w:themeColor="text1" w:themeTint="67"/>
      </w:tblBorders>
    </w:tblPr>
    <w:tblStylePr w:type="band1Horz">
      <w:rPr>
        <w:rFonts w:ascii="Arial" w:hAnsi="Arial"/>
        <w:color w:val="404040"/>
        <w:sz w:val="22"/>
      </w:rPr>
      <w:tcPr>
        <w:tcBorders>
          <w:left w:val="single" w:color="000000" w:sz="4" w:space="0" w:themeColor="text1" w:themeTint="67"/>
          <w:top w:val="single" w:color="000000" w:sz="4" w:space="0" w:themeColor="text1" w:themeTint="67"/>
          <w:right w:val="single" w:color="000000" w:sz="4" w:space="0" w:themeColor="text1" w:themeTint="67"/>
          <w:bottom w:val="single" w:color="000000" w:sz="4" w:space="0" w:themeColor="text1" w:themeTint="67"/>
        </w:tcBorders>
      </w:tcPr>
    </w:tblStylePr>
    <w:tblStylePr w:type="firstCol">
      <w:rPr>
        <w:b/>
        <w:color w:val="404040"/>
      </w:rPr>
    </w:tblStylePr>
    <w:tblStylePr w:type="firstRow">
      <w:rPr>
        <w:b/>
        <w:color w:val="404040"/>
      </w:rPr>
      <w:tcPr>
        <w:tcBorders>
          <w:bottom w:val="single" w:color="000000" w:sz="12" w:space="0" w:themeColor="text1" w:themeTint="95"/>
        </w:tcBorders>
      </w:tcPr>
    </w:tblStylePr>
    <w:tblStylePr w:type="lastCol">
      <w:rPr>
        <w:b/>
        <w:color w:val="404040"/>
      </w:rPr>
    </w:tblStylePr>
    <w:tblStylePr w:type="lastRow">
      <w:rPr>
        <w:b/>
        <w:color w:val="404040"/>
      </w:rPr>
    </w:tblStylePr>
  </w:style>
  <w:style w:type="table" w:styleId="983">
    <w:name w:val="Grid Table 1 Light - Accent 1"/>
    <w:uiPriority w:val="99"/>
    <w:pPr>
      <w:spacing w:lineRule="auto" w:line="240" w:after="0"/>
    </w:pPr>
    <w:tblPr>
      <w:tblStyleRowBandSize w:val="1"/>
      <w:tblStyleColBandSize w:val="1"/>
      <w:tblInd w:w="0" w:type="dxa"/>
      <w:tbl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insideV w:val="single" w:color="000000" w:sz="4" w:space="0" w:themeColor="accent1" w:themeTint="67"/>
        <w:insideH w:val="single" w:color="000000" w:sz="4" w:space="0" w:themeColor="accent1" w:themeTint="67"/>
      </w:tblBorders>
    </w:tblPr>
    <w:tblStylePr w:type="band1Horz">
      <w:rPr>
        <w:rFonts w:ascii="Arial" w:hAnsi="Arial"/>
        <w:color w:val="404040"/>
        <w:sz w:val="22"/>
      </w:rPr>
      <w:tcPr>
        <w:tc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tcBorders>
      </w:tcPr>
    </w:tblStylePr>
    <w:tblStylePr w:type="firstCol">
      <w:rPr>
        <w:b/>
        <w:color w:val="404040"/>
      </w:rPr>
    </w:tblStylePr>
    <w:tblStylePr w:type="firstRow">
      <w:rPr>
        <w:b/>
        <w:color w:val="404040"/>
      </w:rPr>
      <w:tcPr>
        <w:tcBorders>
          <w:bottom w:val="single" w:color="000000" w:sz="12" w:space="0" w:themeColor="accent1" w:themeTint="95"/>
        </w:tcBorders>
      </w:tcPr>
    </w:tblStylePr>
    <w:tblStylePr w:type="lastCol">
      <w:rPr>
        <w:b/>
        <w:color w:val="404040"/>
      </w:rPr>
    </w:tblStylePr>
    <w:tblStylePr w:type="lastRow">
      <w:rPr>
        <w:b/>
        <w:color w:val="404040"/>
      </w:rPr>
    </w:tblStylePr>
  </w:style>
  <w:style w:type="table" w:styleId="984">
    <w:name w:val="Grid Table 1 Light - Accent 2"/>
    <w:uiPriority w:val="99"/>
    <w:pPr>
      <w:spacing w:lineRule="auto" w:line="240" w:after="0"/>
    </w:pPr>
    <w:tblPr>
      <w:tblStyleRowBandSize w:val="1"/>
      <w:tblStyleColBandSize w:val="1"/>
      <w:tblInd w:w="0" w:type="dxa"/>
      <w:tbl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insideV w:val="single" w:color="000000" w:sz="4" w:space="0" w:themeColor="accent2" w:themeTint="67"/>
        <w:insideH w:val="single" w:color="000000" w:sz="4" w:space="0" w:themeColor="accent2" w:themeTint="67"/>
      </w:tblBorders>
    </w:tblPr>
    <w:tblStylePr w:type="band1Horz">
      <w:rPr>
        <w:rFonts w:ascii="Arial" w:hAnsi="Arial"/>
        <w:color w:val="404040"/>
        <w:sz w:val="22"/>
      </w:rPr>
      <w:tcPr>
        <w:tc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tcBorders>
      </w:tcPr>
    </w:tblStylePr>
    <w:tblStylePr w:type="firstCol">
      <w:rPr>
        <w:b/>
        <w:color w:val="404040"/>
      </w:rPr>
    </w:tblStylePr>
    <w:tblStylePr w:type="firstRow">
      <w:rPr>
        <w:b/>
        <w:color w:val="404040"/>
      </w:rPr>
      <w:tcPr>
        <w:tcBorders>
          <w:bottom w:val="single" w:color="000000" w:sz="12" w:space="0" w:themeColor="accent2" w:themeTint="95"/>
        </w:tcBorders>
      </w:tcPr>
    </w:tblStylePr>
    <w:tblStylePr w:type="lastCol">
      <w:rPr>
        <w:b/>
        <w:color w:val="404040"/>
      </w:rPr>
    </w:tblStylePr>
    <w:tblStylePr w:type="lastRow">
      <w:rPr>
        <w:b/>
        <w:color w:val="404040"/>
      </w:rPr>
    </w:tblStylePr>
  </w:style>
  <w:style w:type="table" w:styleId="985">
    <w:name w:val="Grid Table 1 Light - Accent 3"/>
    <w:uiPriority w:val="99"/>
    <w:pPr>
      <w:spacing w:lineRule="auto" w:line="240" w:after="0"/>
    </w:pPr>
    <w:tblPr>
      <w:tblStyleRowBandSize w:val="1"/>
      <w:tblStyleColBandSize w:val="1"/>
      <w:tblInd w:w="0" w:type="dxa"/>
      <w:tbl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insideV w:val="single" w:color="000000" w:sz="4" w:space="0" w:themeColor="accent3" w:themeTint="67"/>
        <w:insideH w:val="single" w:color="000000" w:sz="4" w:space="0" w:themeColor="accent3" w:themeTint="67"/>
      </w:tblBorders>
    </w:tblPr>
    <w:tblStylePr w:type="band1Horz">
      <w:rPr>
        <w:rFonts w:ascii="Arial" w:hAnsi="Arial"/>
        <w:color w:val="404040"/>
        <w:sz w:val="22"/>
      </w:rPr>
      <w:tcPr>
        <w:tc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tcBorders>
      </w:tcPr>
    </w:tblStylePr>
    <w:tblStylePr w:type="firstCol">
      <w:rPr>
        <w:b/>
        <w:color w:val="404040"/>
      </w:rPr>
    </w:tblStylePr>
    <w:tblStylePr w:type="firstRow">
      <w:rPr>
        <w:b/>
        <w:color w:val="404040"/>
      </w:rPr>
      <w:tcPr>
        <w:tcBorders>
          <w:bottom w:val="single" w:color="000000" w:sz="12" w:space="0" w:themeColor="accent3" w:themeTint="95"/>
        </w:tcBorders>
      </w:tcPr>
    </w:tblStylePr>
    <w:tblStylePr w:type="lastCol">
      <w:rPr>
        <w:b/>
        <w:color w:val="404040"/>
      </w:rPr>
    </w:tblStylePr>
    <w:tblStylePr w:type="lastRow">
      <w:rPr>
        <w:b/>
        <w:color w:val="404040"/>
      </w:rPr>
    </w:tblStylePr>
  </w:style>
  <w:style w:type="table" w:styleId="986">
    <w:name w:val="Grid Table 1 Light - Accent 4"/>
    <w:uiPriority w:val="99"/>
    <w:pPr>
      <w:spacing w:lineRule="auto" w:line="240" w:after="0"/>
    </w:pPr>
    <w:tblPr>
      <w:tblStyleRowBandSize w:val="1"/>
      <w:tblStyleColBandSize w:val="1"/>
      <w:tblInd w:w="0" w:type="dxa"/>
      <w:tbl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insideV w:val="single" w:color="000000" w:sz="4" w:space="0" w:themeColor="accent4" w:themeTint="67"/>
        <w:insideH w:val="single" w:color="000000" w:sz="4" w:space="0" w:themeColor="accent4" w:themeTint="67"/>
      </w:tblBorders>
    </w:tblPr>
    <w:tblStylePr w:type="band1Horz">
      <w:rPr>
        <w:rFonts w:ascii="Arial" w:hAnsi="Arial"/>
        <w:color w:val="404040"/>
        <w:sz w:val="22"/>
      </w:rPr>
      <w:tcPr>
        <w:tc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tcBorders>
      </w:tcPr>
    </w:tblStylePr>
    <w:tblStylePr w:type="firstCol">
      <w:rPr>
        <w:b/>
        <w:color w:val="404040"/>
      </w:rPr>
    </w:tblStylePr>
    <w:tblStylePr w:type="firstRow">
      <w:rPr>
        <w:b/>
        <w:color w:val="404040"/>
      </w:rPr>
      <w:tcPr>
        <w:tcBorders>
          <w:bottom w:val="single" w:color="000000" w:sz="12" w:space="0" w:themeColor="accent4" w:themeTint="95"/>
        </w:tcBorders>
      </w:tcPr>
    </w:tblStylePr>
    <w:tblStylePr w:type="lastCol">
      <w:rPr>
        <w:b/>
        <w:color w:val="404040"/>
      </w:rPr>
    </w:tblStylePr>
    <w:tblStylePr w:type="lastRow">
      <w:rPr>
        <w:b/>
        <w:color w:val="404040"/>
      </w:rPr>
    </w:tblStylePr>
  </w:style>
  <w:style w:type="table" w:styleId="987">
    <w:name w:val="Grid Table 1 Light - Accent 5"/>
    <w:uiPriority w:val="99"/>
    <w:pPr>
      <w:spacing w:lineRule="auto" w:line="240" w:after="0"/>
    </w:pPr>
    <w:tblPr>
      <w:tblStyleRowBandSize w:val="1"/>
      <w:tblStyleColBandSize w:val="1"/>
      <w:tblInd w:w="0" w:type="dxa"/>
      <w:tbl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insideV w:val="single" w:color="000000" w:sz="4" w:space="0" w:themeColor="accent5" w:themeTint="67"/>
        <w:insideH w:val="single" w:color="000000" w:sz="4" w:space="0" w:themeColor="accent5" w:themeTint="67"/>
      </w:tblBorders>
    </w:tblPr>
    <w:tblStylePr w:type="band1Horz">
      <w:rPr>
        <w:rFonts w:ascii="Arial" w:hAnsi="Arial"/>
        <w:color w:val="404040"/>
        <w:sz w:val="22"/>
      </w:rPr>
      <w:tcPr>
        <w:tc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tcBorders>
      </w:tcPr>
    </w:tblStylePr>
    <w:tblStylePr w:type="firstCol">
      <w:rPr>
        <w:b/>
        <w:color w:val="404040"/>
      </w:rPr>
    </w:tblStylePr>
    <w:tblStylePr w:type="firstRow">
      <w:rPr>
        <w:b/>
        <w:color w:val="404040"/>
      </w:rPr>
      <w:tcPr>
        <w:tcBorders>
          <w:bottom w:val="single" w:color="000000" w:sz="12" w:space="0" w:themeColor="accent5" w:themeTint="95"/>
        </w:tcBorders>
      </w:tcPr>
    </w:tblStylePr>
    <w:tblStylePr w:type="lastCol">
      <w:rPr>
        <w:b/>
        <w:color w:val="404040"/>
      </w:rPr>
    </w:tblStylePr>
    <w:tblStylePr w:type="lastRow">
      <w:rPr>
        <w:b/>
        <w:color w:val="404040"/>
      </w:rPr>
    </w:tblStylePr>
  </w:style>
  <w:style w:type="table" w:styleId="988">
    <w:name w:val="Grid Table 1 Light - Accent 6"/>
    <w:uiPriority w:val="99"/>
    <w:pPr>
      <w:spacing w:lineRule="auto" w:line="240" w:after="0"/>
    </w:pPr>
    <w:tblPr>
      <w:tblStyleRowBandSize w:val="1"/>
      <w:tblStyleColBandSize w:val="1"/>
      <w:tblInd w:w="0" w:type="dxa"/>
      <w:tbl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insideV w:val="single" w:color="000000" w:sz="4" w:space="0" w:themeColor="accent6" w:themeTint="67"/>
        <w:insideH w:val="single" w:color="000000" w:sz="4" w:space="0" w:themeColor="accent6" w:themeTint="67"/>
      </w:tblBorders>
    </w:tblPr>
    <w:tblStylePr w:type="band1Horz">
      <w:rPr>
        <w:rFonts w:ascii="Arial" w:hAnsi="Arial"/>
        <w:color w:val="404040"/>
        <w:sz w:val="22"/>
      </w:rPr>
      <w:tcPr>
        <w:tc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tcBorders>
      </w:tcPr>
    </w:tblStylePr>
    <w:tblStylePr w:type="firstCol">
      <w:rPr>
        <w:b/>
        <w:color w:val="404040"/>
      </w:rPr>
    </w:tblStylePr>
    <w:tblStylePr w:type="firstRow">
      <w:rPr>
        <w:b/>
        <w:color w:val="404040"/>
      </w:rPr>
      <w:tcPr>
        <w:tcBorders>
          <w:bottom w:val="single" w:color="000000" w:sz="12" w:space="0" w:themeColor="accent6" w:themeTint="95"/>
        </w:tcBorders>
      </w:tcPr>
    </w:tblStylePr>
    <w:tblStylePr w:type="lastCol">
      <w:rPr>
        <w:b/>
        <w:color w:val="404040"/>
      </w:rPr>
    </w:tblStylePr>
    <w:tblStylePr w:type="lastRow">
      <w:rPr>
        <w:b/>
        <w:color w:val="404040"/>
      </w:rPr>
    </w:tblStylePr>
  </w:style>
  <w:style w:type="table" w:styleId="989">
    <w:name w:val="Grid Table 2"/>
    <w:uiPriority w:val="99"/>
    <w:pPr>
      <w:spacing w:lineRule="auto" w:line="240" w:after="0"/>
    </w:pPr>
    <w:tblPr>
      <w:tblStyleRowBandSize w:val="1"/>
      <w:tblStyleColBandSize w:val="1"/>
      <w:tblInd w:w="0" w:type="dxa"/>
      <w:tblBorders>
        <w:bottom w:val="single" w:color="000000" w:sz="4" w:space="0" w:themeColor="text1" w:themeTint="95"/>
        <w:insideV w:val="single" w:color="000000" w:sz="4" w:space="0" w:themeColor="text1" w:themeTint="95"/>
        <w:insideH w:val="single" w:color="000000" w:sz="4" w:space="0" w:themeColor="text1" w:themeTint="95"/>
      </w:tblBorders>
    </w:tblPr>
    <w:tblStylePr w:type="band1Horz">
      <w:rPr>
        <w:rFonts w:ascii="Arial" w:hAnsi="Arial"/>
        <w:color w:val="404040"/>
        <w:sz w:val="22"/>
      </w:rPr>
      <w:tcPr>
        <w:shd w:val="clear" w:fill="FFFFFF" w:color="FFFFFF" w:themeFill="text1" w:themeFillTint="34"/>
      </w:tcPr>
    </w:tblStylePr>
    <w:tblStylePr w:type="band1Vert">
      <w:rPr>
        <w:rFonts w:ascii="Arial" w:hAnsi="Arial"/>
        <w:color w:val="404040"/>
        <w:sz w:val="22"/>
      </w:rPr>
      <w:tcPr>
        <w:shd w:val="clear" w:fill="FFFFFF" w:color="FFFFFF" w:themeFill="text1" w:themeFillTint="34"/>
      </w:tcPr>
    </w:tblStylePr>
    <w:tblStylePr w:type="firstCol">
      <w:rPr>
        <w:b/>
        <w:color w:val="404040"/>
      </w:rPr>
    </w:tblStylePr>
    <w:tblStylePr w:type="firstRow">
      <w:rPr>
        <w:b/>
        <w:color w:val="404040"/>
      </w:rPr>
      <w:tcPr>
        <w:shd w:val="clear" w:fill="FFFFFF" w:color="FFFFFF"/>
        <w:tcBorders>
          <w:left w:val="none" w:color="000000" w:sz="4" w:space="0"/>
          <w:top w:val="none" w:color="000000" w:sz="4" w:space="0"/>
          <w:right w:val="none" w:color="000000" w:sz="4" w:space="0"/>
          <w:bottom w:val="single" w:color="000000" w:sz="12" w:space="0" w:themeColor="text1" w:themeTint="95"/>
        </w:tcBorders>
      </w:tcPr>
    </w:tblStylePr>
    <w:tblStylePr w:type="lastCol">
      <w:rPr>
        <w:b/>
        <w:color w:val="404040"/>
      </w:rPr>
    </w:tblStylePr>
    <w:tblStylePr w:type="lastRow">
      <w:rPr>
        <w:b/>
        <w:color w:val="404040"/>
      </w:rPr>
      <w:tcPr>
        <w:shd w:val="clear" w:fill="FFFFFF" w:color="FFFFFF"/>
        <w:tcBorders>
          <w:left w:val="none" w:color="000000" w:sz="4" w:space="0"/>
          <w:top w:val="single" w:color="000000" w:sz="4" w:space="0" w:themeColor="text1" w:themeTint="95"/>
          <w:right w:val="none" w:color="000000" w:sz="4" w:space="0"/>
          <w:bottom w:val="none" w:color="000000" w:sz="4" w:space="0"/>
        </w:tcBorders>
      </w:tcPr>
    </w:tblStylePr>
  </w:style>
  <w:style w:type="table" w:styleId="990">
    <w:name w:val="Grid Table 2 - Accent 1"/>
    <w:uiPriority w:val="99"/>
    <w:pPr>
      <w:spacing w:lineRule="auto" w:line="240" w:after="0"/>
    </w:pPr>
    <w:tblPr>
      <w:tblStyleRowBandSize w:val="1"/>
      <w:tblStyleColBandSize w:val="1"/>
      <w:tblInd w:w="0" w:type="dxa"/>
      <w:tblBorders>
        <w:bottom w:val="single" w:color="000000" w:sz="4" w:space="0" w:themeColor="accent1" w:themeTint="EA"/>
        <w:insideV w:val="single" w:color="000000" w:sz="4" w:space="0" w:themeColor="accent1" w:themeTint="EA"/>
        <w:insideH w:val="single" w:color="000000" w:sz="4" w:space="0" w:themeColor="accent1" w:themeTint="EA"/>
      </w:tblBorders>
    </w:tblPr>
    <w:tblStylePr w:type="band1Horz">
      <w:rPr>
        <w:rFonts w:ascii="Arial" w:hAnsi="Arial"/>
        <w:color w:val="404040"/>
        <w:sz w:val="22"/>
      </w:rPr>
      <w:tcPr>
        <w:shd w:val="clear" w:fill="FFFFFF" w:color="FFFFFF" w:themeFill="accent1" w:themeFillTint="34"/>
      </w:tcPr>
    </w:tblStylePr>
    <w:tblStylePr w:type="band1Vert">
      <w:rPr>
        <w:rFonts w:ascii="Arial" w:hAnsi="Arial"/>
        <w:color w:val="404040"/>
        <w:sz w:val="22"/>
      </w:rPr>
      <w:tcPr>
        <w:shd w:val="clear" w:fill="FFFFFF" w:color="FFFFFF" w:themeFill="accent1" w:themeFillTint="34"/>
      </w:tcPr>
    </w:tblStylePr>
    <w:tblStylePr w:type="firstCol">
      <w:rPr>
        <w:b/>
        <w:color w:val="404040"/>
      </w:rPr>
    </w:tblStylePr>
    <w:tblStylePr w:type="firstRow">
      <w:rPr>
        <w:b/>
        <w:color w:val="404040"/>
      </w:rPr>
      <w:tcPr>
        <w:shd w:val="clear" w:fill="FFFFFF" w:color="FFFFFF"/>
        <w:tcBorders>
          <w:left w:val="none" w:color="000000" w:sz="4" w:space="0"/>
          <w:top w:val="none" w:color="000000" w:sz="4" w:space="0"/>
          <w:right w:val="none" w:color="000000" w:sz="4" w:space="0"/>
          <w:bottom w:val="single" w:color="000000" w:sz="12" w:space="0" w:themeColor="accent1" w:themeTint="EA"/>
        </w:tcBorders>
      </w:tcPr>
    </w:tblStylePr>
    <w:tblStylePr w:type="lastCol">
      <w:rPr>
        <w:b/>
        <w:color w:val="404040"/>
      </w:rPr>
    </w:tblStylePr>
    <w:tblStylePr w:type="lastRow">
      <w:rPr>
        <w:b/>
        <w:color w:val="404040"/>
      </w:rPr>
      <w:tcPr>
        <w:shd w:val="clear" w:fill="FFFFFF" w:color="FFFFFF"/>
        <w:tcBorders>
          <w:left w:val="none" w:color="000000" w:sz="4" w:space="0"/>
          <w:top w:val="single" w:color="000000" w:sz="4" w:space="0" w:themeColor="accent1" w:themeTint="EA"/>
          <w:right w:val="none" w:color="000000" w:sz="4" w:space="0"/>
          <w:bottom w:val="none" w:color="000000" w:sz="4" w:space="0"/>
        </w:tcBorders>
      </w:tcPr>
    </w:tblStylePr>
  </w:style>
  <w:style w:type="table" w:styleId="991">
    <w:name w:val="Grid Table 2 - Accent 2"/>
    <w:uiPriority w:val="99"/>
    <w:pPr>
      <w:spacing w:lineRule="auto" w:line="240" w:after="0"/>
    </w:pPr>
    <w:tblPr>
      <w:tblStyleRowBandSize w:val="1"/>
      <w:tblStyleColBandSize w:val="1"/>
      <w:tblInd w:w="0" w:type="dxa"/>
      <w:tblBorders>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sz w:val="22"/>
      </w:rPr>
      <w:tcPr>
        <w:shd w:val="clear" w:fill="FFFFFF" w:color="FFFFFF" w:themeFill="accent2" w:themeFillTint="32"/>
      </w:tcPr>
    </w:tblStylePr>
    <w:tblStylePr w:type="band1Vert">
      <w:rPr>
        <w:rFonts w:ascii="Arial" w:hAnsi="Arial"/>
        <w:color w:val="404040"/>
        <w:sz w:val="22"/>
      </w:rPr>
      <w:tcPr>
        <w:shd w:val="clear" w:fill="FFFFFF" w:color="FFFFFF" w:themeFill="accent2" w:themeFillTint="32"/>
      </w:tcPr>
    </w:tblStylePr>
    <w:tblStylePr w:type="firstCol">
      <w:rPr>
        <w:b/>
        <w:color w:val="404040"/>
      </w:rPr>
    </w:tblStylePr>
    <w:tblStylePr w:type="firstRow">
      <w:rPr>
        <w:b/>
        <w:color w:val="404040"/>
      </w:rPr>
      <w:tcPr>
        <w:shd w:val="clear" w:fill="FFFFFF" w:color="FFFFFF"/>
        <w:tcBorders>
          <w:left w:val="none" w:color="000000" w:sz="4" w:space="0"/>
          <w:top w:val="none" w:color="000000" w:sz="4" w:space="0"/>
          <w:right w:val="none" w:color="000000" w:sz="4" w:space="0"/>
          <w:bottom w:val="single" w:color="000000" w:sz="12" w:space="0" w:themeColor="accent2" w:themeTint="97"/>
        </w:tcBorders>
      </w:tcPr>
    </w:tblStylePr>
    <w:tblStylePr w:type="lastCol">
      <w:rPr>
        <w:b/>
        <w:color w:val="404040"/>
      </w:rPr>
    </w:tblStylePr>
    <w:tblStylePr w:type="lastRow">
      <w:rPr>
        <w:b/>
        <w:color w:val="404040"/>
      </w:rPr>
      <w:tcPr>
        <w:shd w:val="clear" w:fill="FFFFFF" w:color="FFFFFF"/>
        <w:tcBorders>
          <w:left w:val="none" w:color="000000" w:sz="4" w:space="0"/>
          <w:top w:val="single" w:color="000000" w:sz="4" w:space="0" w:themeColor="accent2" w:themeTint="97"/>
          <w:right w:val="none" w:color="000000" w:sz="4" w:space="0"/>
          <w:bottom w:val="none" w:color="000000" w:sz="4" w:space="0"/>
        </w:tcBorders>
      </w:tcPr>
    </w:tblStylePr>
  </w:style>
  <w:style w:type="table" w:styleId="992">
    <w:name w:val="Grid Table 2 - Accent 3"/>
    <w:uiPriority w:val="99"/>
    <w:pPr>
      <w:spacing w:lineRule="auto" w:line="240" w:after="0"/>
    </w:pPr>
    <w:tblPr>
      <w:tblStyleRowBandSize w:val="1"/>
      <w:tblStyleColBandSize w:val="1"/>
      <w:tblInd w:w="0" w:type="dxa"/>
      <w:tblBorders>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sz w:val="22"/>
      </w:rPr>
      <w:tcPr>
        <w:shd w:val="clear" w:fill="FFFFFF" w:color="FFFFFF" w:themeFill="accent3" w:themeFillTint="34"/>
      </w:tcPr>
    </w:tblStylePr>
    <w:tblStylePr w:type="band1Vert">
      <w:rPr>
        <w:rFonts w:ascii="Arial" w:hAnsi="Arial"/>
        <w:color w:val="404040"/>
        <w:sz w:val="22"/>
      </w:rPr>
      <w:tcPr>
        <w:shd w:val="clear" w:fill="FFFFFF" w:color="FFFFFF" w:themeFill="accent3" w:themeFillTint="34"/>
      </w:tcPr>
    </w:tblStylePr>
    <w:tblStylePr w:type="firstCol">
      <w:rPr>
        <w:b/>
        <w:color w:val="404040"/>
      </w:rPr>
    </w:tblStylePr>
    <w:tblStylePr w:type="firstRow">
      <w:rPr>
        <w:b/>
        <w:color w:val="404040"/>
      </w:rPr>
      <w:tcPr>
        <w:shd w:val="clear" w:fill="FFFFFF" w:color="FFFFFF"/>
        <w:tcBorders>
          <w:left w:val="none" w:color="000000" w:sz="4" w:space="0"/>
          <w:top w:val="none" w:color="000000" w:sz="4" w:space="0"/>
          <w:right w:val="none" w:color="000000" w:sz="4" w:space="0"/>
          <w:bottom w:val="single" w:color="000000" w:sz="12" w:space="0" w:themeColor="accent3" w:themeTint="FE"/>
        </w:tcBorders>
      </w:tcPr>
    </w:tblStylePr>
    <w:tblStylePr w:type="lastCol">
      <w:rPr>
        <w:b/>
        <w:color w:val="404040"/>
      </w:rPr>
    </w:tblStylePr>
    <w:tblStylePr w:type="lastRow">
      <w:rPr>
        <w:b/>
        <w:color w:val="404040"/>
      </w:rPr>
      <w:tcPr>
        <w:shd w:val="clear" w:fill="FFFFFF" w:color="FFFFFF"/>
        <w:tcBorders>
          <w:left w:val="none" w:color="000000" w:sz="4" w:space="0"/>
          <w:top w:val="single" w:color="000000" w:sz="4" w:space="0" w:themeColor="accent3" w:themeTint="FE"/>
          <w:right w:val="none" w:color="000000" w:sz="4" w:space="0"/>
          <w:bottom w:val="none" w:color="000000" w:sz="4" w:space="0"/>
        </w:tcBorders>
      </w:tcPr>
    </w:tblStylePr>
  </w:style>
  <w:style w:type="table" w:styleId="993">
    <w:name w:val="Grid Table 2 - Accent 4"/>
    <w:uiPriority w:val="99"/>
    <w:pPr>
      <w:spacing w:lineRule="auto" w:line="240" w:after="0"/>
    </w:pPr>
    <w:tblPr>
      <w:tblStyleRowBandSize w:val="1"/>
      <w:tblStyleColBandSize w:val="1"/>
      <w:tblInd w:w="0" w:type="dxa"/>
      <w:tblBorders>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sz w:val="22"/>
      </w:rPr>
      <w:tcPr>
        <w:shd w:val="clear" w:fill="FFFFFF" w:color="FFFFFF" w:themeFill="accent4" w:themeFillTint="34"/>
      </w:tcPr>
    </w:tblStylePr>
    <w:tblStylePr w:type="band1Vert">
      <w:rPr>
        <w:rFonts w:ascii="Arial" w:hAnsi="Arial"/>
        <w:color w:val="404040"/>
        <w:sz w:val="22"/>
      </w:rPr>
      <w:tcPr>
        <w:shd w:val="clear" w:fill="FFFFFF" w:color="FFFFFF" w:themeFill="accent4" w:themeFillTint="34"/>
      </w:tcPr>
    </w:tblStylePr>
    <w:tblStylePr w:type="firstCol">
      <w:rPr>
        <w:b/>
        <w:color w:val="404040"/>
      </w:rPr>
    </w:tblStylePr>
    <w:tblStylePr w:type="firstRow">
      <w:rPr>
        <w:b/>
        <w:color w:val="404040"/>
      </w:rPr>
      <w:tcPr>
        <w:shd w:val="clear" w:fill="FFFFFF" w:color="FFFFFF"/>
        <w:tcBorders>
          <w:left w:val="none" w:color="000000" w:sz="4" w:space="0"/>
          <w:top w:val="none" w:color="000000" w:sz="4" w:space="0"/>
          <w:right w:val="none" w:color="000000" w:sz="4" w:space="0"/>
          <w:bottom w:val="single" w:color="000000" w:sz="12" w:space="0" w:themeColor="accent4" w:themeTint="9A"/>
        </w:tcBorders>
      </w:tcPr>
    </w:tblStylePr>
    <w:tblStylePr w:type="lastCol">
      <w:rPr>
        <w:b/>
        <w:color w:val="404040"/>
      </w:rPr>
    </w:tblStylePr>
    <w:tblStylePr w:type="lastRow">
      <w:rPr>
        <w:b/>
        <w:color w:val="404040"/>
      </w:rPr>
      <w:tcPr>
        <w:shd w:val="clear" w:fill="FFFFFF" w:color="FFFFFF"/>
        <w:tcBorders>
          <w:left w:val="none" w:color="000000" w:sz="4" w:space="0"/>
          <w:top w:val="single" w:color="000000" w:sz="4" w:space="0" w:themeColor="accent4" w:themeTint="9A"/>
          <w:right w:val="none" w:color="000000" w:sz="4" w:space="0"/>
          <w:bottom w:val="none" w:color="000000" w:sz="4" w:space="0"/>
        </w:tcBorders>
      </w:tcPr>
    </w:tblStylePr>
  </w:style>
  <w:style w:type="table" w:styleId="994">
    <w:name w:val="Grid Table 2 - Accent 5"/>
    <w:uiPriority w:val="99"/>
    <w:pPr>
      <w:spacing w:lineRule="auto" w:line="240" w:after="0"/>
    </w:pPr>
    <w:tblPr>
      <w:tblStyleRowBandSize w:val="1"/>
      <w:tblStyleColBandSize w:val="1"/>
      <w:tblInd w:w="0" w:type="dxa"/>
      <w:tblBorders>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sz w:val="22"/>
      </w:rPr>
      <w:tcPr>
        <w:shd w:val="clear" w:fill="FFFFFF" w:color="FFFFFF" w:themeFill="accent5" w:themeFillTint="34"/>
      </w:tcPr>
    </w:tblStylePr>
    <w:tblStylePr w:type="band1Vert">
      <w:rPr>
        <w:rFonts w:ascii="Arial" w:hAnsi="Arial"/>
        <w:color w:val="404040"/>
        <w:sz w:val="22"/>
      </w:rPr>
      <w:tcPr>
        <w:shd w:val="clear" w:fill="FFFFFF" w:color="FFFFFF" w:themeFill="accent5" w:themeFillTint="34"/>
      </w:tcPr>
    </w:tblStylePr>
    <w:tblStylePr w:type="firstCol">
      <w:rPr>
        <w:b/>
        <w:color w:val="404040"/>
      </w:rPr>
    </w:tblStylePr>
    <w:tblStylePr w:type="firstRow">
      <w:rPr>
        <w:b/>
        <w:color w:val="404040"/>
      </w:rPr>
      <w:tcPr>
        <w:shd w:val="clear" w:fill="FFFFFF" w:color="FFFFFF"/>
        <w:tcBorders>
          <w:left w:val="none" w:color="000000" w:sz="4" w:space="0"/>
          <w:top w:val="none" w:color="000000" w:sz="4" w:space="0"/>
          <w:right w:val="none" w:color="000000" w:sz="4" w:space="0"/>
          <w:bottom w:val="single" w:color="000000" w:sz="12" w:space="0" w:themeColor="accent5"/>
        </w:tcBorders>
      </w:tcPr>
    </w:tblStylePr>
    <w:tblStylePr w:type="lastCol">
      <w:rPr>
        <w:b/>
        <w:color w:val="404040"/>
      </w:rPr>
    </w:tblStylePr>
    <w:tblStylePr w:type="lastRow">
      <w:rPr>
        <w:b/>
        <w:color w:val="404040"/>
      </w:rPr>
      <w:tcPr>
        <w:shd w:val="clear" w:fill="FFFFFF" w:color="FFFFFF"/>
        <w:tcBorders>
          <w:left w:val="none" w:color="000000" w:sz="4" w:space="0"/>
          <w:top w:val="single" w:color="000000" w:sz="4" w:space="0" w:themeColor="accent5"/>
          <w:right w:val="none" w:color="000000" w:sz="4" w:space="0"/>
          <w:bottom w:val="none" w:color="000000" w:sz="4" w:space="0"/>
        </w:tcBorders>
      </w:tcPr>
    </w:tblStylePr>
  </w:style>
  <w:style w:type="table" w:styleId="995">
    <w:name w:val="Grid Table 2 - Accent 6"/>
    <w:uiPriority w:val="99"/>
    <w:pPr>
      <w:spacing w:lineRule="auto" w:line="240" w:after="0"/>
    </w:pPr>
    <w:tblPr>
      <w:tblStyleRowBandSize w:val="1"/>
      <w:tblStyleColBandSize w:val="1"/>
      <w:tblInd w:w="0" w:type="dxa"/>
      <w:tblBorders>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sz w:val="22"/>
      </w:rPr>
      <w:tcPr>
        <w:shd w:val="clear" w:fill="FFFFFF" w:color="FFFFFF" w:themeFill="accent6" w:themeFillTint="34"/>
      </w:tcPr>
    </w:tblStylePr>
    <w:tblStylePr w:type="band1Vert">
      <w:rPr>
        <w:rFonts w:ascii="Arial" w:hAnsi="Arial"/>
        <w:color w:val="404040"/>
        <w:sz w:val="22"/>
      </w:rPr>
      <w:tcPr>
        <w:shd w:val="clear" w:fill="FFFFFF" w:color="FFFFFF" w:themeFill="accent6" w:themeFillTint="34"/>
      </w:tcPr>
    </w:tblStylePr>
    <w:tblStylePr w:type="firstCol">
      <w:rPr>
        <w:b/>
        <w:color w:val="404040"/>
      </w:rPr>
    </w:tblStylePr>
    <w:tblStylePr w:type="firstRow">
      <w:rPr>
        <w:b/>
        <w:color w:val="404040"/>
      </w:rPr>
      <w:tcPr>
        <w:shd w:val="clear" w:fill="FFFFFF" w:color="FFFFFF"/>
        <w:tcBorders>
          <w:left w:val="none" w:color="000000" w:sz="4" w:space="0"/>
          <w:top w:val="none" w:color="000000" w:sz="4" w:space="0"/>
          <w:right w:val="none" w:color="000000" w:sz="4" w:space="0"/>
          <w:bottom w:val="single" w:color="000000" w:sz="12" w:space="0" w:themeColor="accent6"/>
        </w:tcBorders>
      </w:tcPr>
    </w:tblStylePr>
    <w:tblStylePr w:type="lastCol">
      <w:rPr>
        <w:b/>
        <w:color w:val="404040"/>
      </w:rPr>
    </w:tblStylePr>
    <w:tblStylePr w:type="lastRow">
      <w:rPr>
        <w:b/>
        <w:color w:val="404040"/>
      </w:rPr>
      <w:tcPr>
        <w:shd w:val="clear" w:fill="FFFFFF" w:color="FFFFFF"/>
        <w:tcBorders>
          <w:left w:val="none" w:color="000000" w:sz="4" w:space="0"/>
          <w:top w:val="single" w:color="000000" w:sz="4" w:space="0" w:themeColor="accent6"/>
          <w:right w:val="none" w:color="000000" w:sz="4" w:space="0"/>
          <w:bottom w:val="none" w:color="000000" w:sz="4" w:space="0"/>
        </w:tcBorders>
      </w:tcPr>
    </w:tblStylePr>
  </w:style>
  <w:style w:type="table" w:styleId="996">
    <w:name w:val="Grid Table 3"/>
    <w:uiPriority w:val="99"/>
    <w:pPr>
      <w:spacing w:lineRule="auto" w:line="240" w:after="0"/>
    </w:pPr>
    <w:tblPr>
      <w:tblStyleRowBandSize w:val="1"/>
      <w:tblStyleColBandSize w:val="1"/>
      <w:tblInd w:w="0" w:type="dxa"/>
      <w:tblBorders>
        <w:bottom w:val="single" w:color="000000" w:sz="4" w:space="0" w:themeColor="text1" w:themeTint="95"/>
        <w:insideV w:val="single" w:color="000000" w:sz="4" w:space="0" w:themeColor="text1" w:themeTint="95"/>
        <w:insideH w:val="single" w:color="000000" w:sz="4" w:space="0" w:themeColor="text1" w:themeTint="95"/>
      </w:tblBorders>
    </w:tblPr>
    <w:tblStylePr w:type="band1Horz">
      <w:rPr>
        <w:rFonts w:ascii="Arial" w:hAnsi="Arial"/>
        <w:color w:val="404040"/>
        <w:sz w:val="22"/>
      </w:rPr>
      <w:tcPr>
        <w:shd w:val="clear" w:fill="FFFFFF" w:color="FFFFFF" w:themeFill="text1" w:themeFillTint="34"/>
      </w:tcPr>
    </w:tblStylePr>
    <w:tblStylePr w:type="band1Vert">
      <w:rPr>
        <w:rFonts w:ascii="Arial" w:hAnsi="Arial"/>
        <w:color w:val="404040"/>
        <w:sz w:val="22"/>
      </w:rPr>
      <w:tcPr>
        <w:shd w:val="clear" w:fill="FFFFFF" w:color="FFFFFF" w:themeFill="text1" w:themeFillTint="34"/>
      </w:tcPr>
    </w:tblStylePr>
    <w:tblStylePr w:type="firstCol">
      <w:rPr>
        <w:i/>
        <w:color w:val="404040"/>
      </w:rPr>
      <w:pPr>
        <w:jc w:val="right"/>
      </w:pPr>
      <w:tcPr>
        <w:shd w:val="clear" w:fill="FFFFFF"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fill="FFFFFF"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fill="FFFFFF"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fill="FFFFFF" w:color="FFFFFF"/>
        <w:tcBorders>
          <w:left w:val="none" w:color="000000" w:sz="4" w:space="0"/>
          <w:top w:val="none" w:color="000000" w:sz="4" w:space="0"/>
          <w:right w:val="none" w:color="000000" w:sz="4" w:space="0"/>
          <w:bottom w:val="none" w:color="000000" w:sz="4" w:space="0"/>
        </w:tcBorders>
      </w:tcPr>
    </w:tblStylePr>
  </w:style>
  <w:style w:type="table" w:styleId="997">
    <w:name w:val="Grid Table 3 - Accent 1"/>
    <w:uiPriority w:val="99"/>
    <w:pPr>
      <w:spacing w:lineRule="auto" w:line="240" w:after="0"/>
    </w:pPr>
    <w:tblPr>
      <w:tblStyleRowBandSize w:val="1"/>
      <w:tblStyleColBandSize w:val="1"/>
      <w:tblInd w:w="0" w:type="dxa"/>
      <w:tblBorders>
        <w:bottom w:val="single" w:color="000000" w:sz="4" w:space="0" w:themeColor="accent1" w:themeTint="EA"/>
        <w:insideV w:val="single" w:color="000000" w:sz="4" w:space="0" w:themeColor="accent1" w:themeTint="EA"/>
        <w:insideH w:val="single" w:color="000000" w:sz="4" w:space="0" w:themeColor="accent1" w:themeTint="EA"/>
      </w:tblBorders>
    </w:tblPr>
    <w:tblStylePr w:type="band1Horz">
      <w:rPr>
        <w:rFonts w:ascii="Arial" w:hAnsi="Arial"/>
        <w:color w:val="404040"/>
        <w:sz w:val="22"/>
      </w:rPr>
      <w:tcPr>
        <w:shd w:val="clear" w:fill="FFFFFF" w:color="FFFFFF" w:themeFill="accent1" w:themeFillTint="34"/>
      </w:tcPr>
    </w:tblStylePr>
    <w:tblStylePr w:type="band1Vert">
      <w:rPr>
        <w:rFonts w:ascii="Arial" w:hAnsi="Arial"/>
        <w:color w:val="404040"/>
        <w:sz w:val="22"/>
      </w:rPr>
      <w:tcPr>
        <w:shd w:val="clear" w:fill="FFFFFF" w:color="FFFFFF" w:themeFill="accent1" w:themeFillTint="34"/>
      </w:tcPr>
    </w:tblStylePr>
    <w:tblStylePr w:type="firstCol">
      <w:rPr>
        <w:i/>
        <w:color w:val="404040"/>
      </w:rPr>
      <w:pPr>
        <w:jc w:val="right"/>
      </w:pPr>
      <w:tcPr>
        <w:shd w:val="clear" w:fill="FFFFFF"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fill="FFFFFF"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fill="FFFFFF"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fill="FFFFFF" w:color="FFFFFF"/>
        <w:tcBorders>
          <w:left w:val="none" w:color="000000" w:sz="4" w:space="0"/>
          <w:top w:val="none" w:color="000000" w:sz="4" w:space="0"/>
          <w:right w:val="none" w:color="000000" w:sz="4" w:space="0"/>
          <w:bottom w:val="none" w:color="000000" w:sz="4" w:space="0"/>
        </w:tcBorders>
      </w:tcPr>
    </w:tblStylePr>
  </w:style>
  <w:style w:type="table" w:styleId="998">
    <w:name w:val="Grid Table 3 - Accent 2"/>
    <w:uiPriority w:val="99"/>
    <w:pPr>
      <w:spacing w:lineRule="auto" w:line="240" w:after="0"/>
    </w:pPr>
    <w:tblPr>
      <w:tblStyleRowBandSize w:val="1"/>
      <w:tblStyleColBandSize w:val="1"/>
      <w:tblInd w:w="0" w:type="dxa"/>
      <w:tblBorders>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sz w:val="22"/>
      </w:rPr>
      <w:tcPr>
        <w:shd w:val="clear" w:fill="FFFFFF" w:color="FFFFFF" w:themeFill="accent2" w:themeFillTint="32"/>
      </w:tcPr>
    </w:tblStylePr>
    <w:tblStylePr w:type="band1Vert">
      <w:rPr>
        <w:rFonts w:ascii="Arial" w:hAnsi="Arial"/>
        <w:color w:val="404040"/>
        <w:sz w:val="22"/>
      </w:rPr>
      <w:tcPr>
        <w:shd w:val="clear" w:fill="FFFFFF" w:color="FFFFFF" w:themeFill="accent2" w:themeFillTint="32"/>
      </w:tcPr>
    </w:tblStylePr>
    <w:tblStylePr w:type="firstCol">
      <w:rPr>
        <w:i/>
        <w:color w:val="404040"/>
      </w:rPr>
      <w:pPr>
        <w:jc w:val="right"/>
      </w:pPr>
      <w:tcPr>
        <w:shd w:val="clear" w:fill="FFFFFF"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fill="FFFFFF"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fill="FFFFFF"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fill="FFFFFF" w:color="FFFFFF"/>
        <w:tcBorders>
          <w:left w:val="none" w:color="000000" w:sz="4" w:space="0"/>
          <w:top w:val="none" w:color="000000" w:sz="4" w:space="0"/>
          <w:right w:val="none" w:color="000000" w:sz="4" w:space="0"/>
          <w:bottom w:val="none" w:color="000000" w:sz="4" w:space="0"/>
        </w:tcBorders>
      </w:tcPr>
    </w:tblStylePr>
  </w:style>
  <w:style w:type="table" w:styleId="999">
    <w:name w:val="Grid Table 3 - Accent 3"/>
    <w:uiPriority w:val="99"/>
    <w:pPr>
      <w:spacing w:lineRule="auto" w:line="240" w:after="0"/>
    </w:pPr>
    <w:tblPr>
      <w:tblStyleRowBandSize w:val="1"/>
      <w:tblStyleColBandSize w:val="1"/>
      <w:tblInd w:w="0" w:type="dxa"/>
      <w:tblBorders>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sz w:val="22"/>
      </w:rPr>
      <w:tcPr>
        <w:shd w:val="clear" w:fill="FFFFFF" w:color="FFFFFF" w:themeFill="accent3" w:themeFillTint="34"/>
      </w:tcPr>
    </w:tblStylePr>
    <w:tblStylePr w:type="band1Vert">
      <w:rPr>
        <w:rFonts w:ascii="Arial" w:hAnsi="Arial"/>
        <w:color w:val="404040"/>
        <w:sz w:val="22"/>
      </w:rPr>
      <w:tcPr>
        <w:shd w:val="clear" w:fill="FFFFFF" w:color="FFFFFF" w:themeFill="accent3" w:themeFillTint="34"/>
      </w:tcPr>
    </w:tblStylePr>
    <w:tblStylePr w:type="firstCol">
      <w:rPr>
        <w:i/>
        <w:color w:val="404040"/>
      </w:rPr>
      <w:pPr>
        <w:jc w:val="right"/>
      </w:pPr>
      <w:tcPr>
        <w:shd w:val="clear" w:fill="FFFFFF"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fill="FFFFFF"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fill="FFFFFF"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fill="FFFFFF" w:color="FFFFFF"/>
        <w:tcBorders>
          <w:left w:val="none" w:color="000000" w:sz="4" w:space="0"/>
          <w:top w:val="none" w:color="000000" w:sz="4" w:space="0"/>
          <w:right w:val="none" w:color="000000" w:sz="4" w:space="0"/>
          <w:bottom w:val="none" w:color="000000" w:sz="4" w:space="0"/>
        </w:tcBorders>
      </w:tcPr>
    </w:tblStylePr>
  </w:style>
  <w:style w:type="table" w:styleId="1000">
    <w:name w:val="Grid Table 3 - Accent 4"/>
    <w:uiPriority w:val="99"/>
    <w:pPr>
      <w:spacing w:lineRule="auto" w:line="240" w:after="0"/>
    </w:pPr>
    <w:tblPr>
      <w:tblStyleRowBandSize w:val="1"/>
      <w:tblStyleColBandSize w:val="1"/>
      <w:tblInd w:w="0" w:type="dxa"/>
      <w:tblBorders>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sz w:val="22"/>
      </w:rPr>
      <w:tcPr>
        <w:shd w:val="clear" w:fill="FFFFFF" w:color="FFFFFF" w:themeFill="accent4" w:themeFillTint="34"/>
      </w:tcPr>
    </w:tblStylePr>
    <w:tblStylePr w:type="band1Vert">
      <w:rPr>
        <w:rFonts w:ascii="Arial" w:hAnsi="Arial"/>
        <w:color w:val="404040"/>
        <w:sz w:val="22"/>
      </w:rPr>
      <w:tcPr>
        <w:shd w:val="clear" w:fill="FFFFFF" w:color="FFFFFF" w:themeFill="accent4" w:themeFillTint="34"/>
      </w:tcPr>
    </w:tblStylePr>
    <w:tblStylePr w:type="firstCol">
      <w:rPr>
        <w:i/>
        <w:color w:val="404040"/>
      </w:rPr>
      <w:pPr>
        <w:jc w:val="right"/>
      </w:pPr>
      <w:tcPr>
        <w:shd w:val="clear" w:fill="FFFFFF"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fill="FFFFFF"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fill="FFFFFF"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fill="FFFFFF" w:color="FFFFFF"/>
        <w:tcBorders>
          <w:left w:val="none" w:color="000000" w:sz="4" w:space="0"/>
          <w:top w:val="none" w:color="000000" w:sz="4" w:space="0"/>
          <w:right w:val="none" w:color="000000" w:sz="4" w:space="0"/>
          <w:bottom w:val="none" w:color="000000" w:sz="4" w:space="0"/>
        </w:tcBorders>
      </w:tcPr>
    </w:tblStylePr>
  </w:style>
  <w:style w:type="table" w:styleId="1001">
    <w:name w:val="Grid Table 3 - Accent 5"/>
    <w:uiPriority w:val="99"/>
    <w:pPr>
      <w:spacing w:lineRule="auto" w:line="240" w:after="0"/>
    </w:pPr>
    <w:tblPr>
      <w:tblStyleRowBandSize w:val="1"/>
      <w:tblStyleColBandSize w:val="1"/>
      <w:tblInd w:w="0" w:type="dxa"/>
      <w:tblBorders>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sz w:val="22"/>
      </w:rPr>
      <w:tcPr>
        <w:shd w:val="clear" w:fill="FFFFFF" w:color="FFFFFF" w:themeFill="accent5" w:themeFillTint="34"/>
      </w:tcPr>
    </w:tblStylePr>
    <w:tblStylePr w:type="band1Vert">
      <w:rPr>
        <w:rFonts w:ascii="Arial" w:hAnsi="Arial"/>
        <w:color w:val="404040"/>
        <w:sz w:val="22"/>
      </w:rPr>
      <w:tcPr>
        <w:shd w:val="clear" w:fill="FFFFFF" w:color="FFFFFF" w:themeFill="accent5" w:themeFillTint="34"/>
      </w:tcPr>
    </w:tblStylePr>
    <w:tblStylePr w:type="firstCol">
      <w:rPr>
        <w:i/>
        <w:color w:val="404040"/>
      </w:rPr>
      <w:pPr>
        <w:jc w:val="right"/>
      </w:pPr>
      <w:tcPr>
        <w:shd w:val="clear" w:fill="FFFFFF"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fill="FFFFFF"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fill="FFFFFF"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fill="FFFFFF" w:color="FFFFFF"/>
        <w:tcBorders>
          <w:left w:val="none" w:color="000000" w:sz="4" w:space="0"/>
          <w:top w:val="none" w:color="000000" w:sz="4" w:space="0"/>
          <w:right w:val="none" w:color="000000" w:sz="4" w:space="0"/>
          <w:bottom w:val="none" w:color="000000" w:sz="4" w:space="0"/>
        </w:tcBorders>
      </w:tcPr>
    </w:tblStylePr>
  </w:style>
  <w:style w:type="table" w:styleId="1002">
    <w:name w:val="Grid Table 3 - Accent 6"/>
    <w:uiPriority w:val="99"/>
    <w:pPr>
      <w:spacing w:lineRule="auto" w:line="240" w:after="0"/>
    </w:pPr>
    <w:tblPr>
      <w:tblStyleRowBandSize w:val="1"/>
      <w:tblStyleColBandSize w:val="1"/>
      <w:tblInd w:w="0" w:type="dxa"/>
      <w:tblBorders>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sz w:val="22"/>
      </w:rPr>
      <w:tcPr>
        <w:shd w:val="clear" w:fill="FFFFFF" w:color="FFFFFF" w:themeFill="accent6" w:themeFillTint="34"/>
      </w:tcPr>
    </w:tblStylePr>
    <w:tblStylePr w:type="band1Vert">
      <w:rPr>
        <w:rFonts w:ascii="Arial" w:hAnsi="Arial"/>
        <w:color w:val="404040"/>
        <w:sz w:val="22"/>
      </w:rPr>
      <w:tcPr>
        <w:shd w:val="clear" w:fill="FFFFFF" w:color="FFFFFF" w:themeFill="accent6" w:themeFillTint="34"/>
      </w:tcPr>
    </w:tblStylePr>
    <w:tblStylePr w:type="firstCol">
      <w:rPr>
        <w:i/>
        <w:color w:val="404040"/>
      </w:rPr>
      <w:pPr>
        <w:jc w:val="right"/>
      </w:pPr>
      <w:tcPr>
        <w:shd w:val="clear" w:fill="FFFFFF"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fill="FFFFFF"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fill="FFFFFF"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fill="FFFFFF" w:color="FFFFFF"/>
        <w:tcBorders>
          <w:left w:val="none" w:color="000000" w:sz="4" w:space="0"/>
          <w:top w:val="none" w:color="000000" w:sz="4" w:space="0"/>
          <w:right w:val="none" w:color="000000" w:sz="4" w:space="0"/>
          <w:bottom w:val="none" w:color="000000" w:sz="4" w:space="0"/>
        </w:tcBorders>
      </w:tcPr>
    </w:tblStylePr>
  </w:style>
  <w:style w:type="table" w:styleId="1003">
    <w:name w:val="Grid Table 4"/>
    <w:uiPriority w:val="59"/>
    <w:pPr>
      <w:spacing w:lineRule="auto" w:line="240" w:after="0"/>
    </w:pPr>
    <w:tblPr>
      <w:tblStyleRowBandSize w:val="1"/>
      <w:tblStyleColBandSize w:val="1"/>
      <w:tblInd w:w="0" w:type="dxa"/>
      <w:tblBorders>
        <w:left w:val="single" w:color="000000" w:sz="4" w:space="0" w:themeColor="text1" w:themeTint="90"/>
        <w:top w:val="single" w:color="000000" w:sz="4" w:space="0" w:themeColor="text1" w:themeTint="90"/>
        <w:right w:val="single" w:color="000000" w:sz="4" w:space="0" w:themeColor="text1" w:themeTint="90"/>
        <w:bottom w:val="single" w:color="000000" w:sz="4" w:space="0" w:themeColor="text1" w:themeTint="90"/>
        <w:insideV w:val="single" w:color="000000" w:sz="4" w:space="0" w:themeColor="text1" w:themeTint="90"/>
        <w:insideH w:val="single" w:color="000000" w:sz="4" w:space="0" w:themeColor="text1" w:themeTint="90"/>
      </w:tblBorders>
    </w:tblPr>
    <w:tblStylePr w:type="band1Horz">
      <w:rPr>
        <w:rFonts w:ascii="Arial" w:hAnsi="Arial"/>
        <w:color w:val="404040"/>
        <w:sz w:val="22"/>
      </w:rPr>
      <w:tcPr>
        <w:shd w:val="clear" w:fill="FFFFFF" w:color="FFFFFF" w:themeFill="text1" w:themeFillTint="34"/>
      </w:tcPr>
    </w:tblStylePr>
    <w:tblStylePr w:type="band1Vert">
      <w:rPr>
        <w:rFonts w:ascii="Arial" w:hAnsi="Arial"/>
        <w:color w:val="404040"/>
        <w:sz w:val="22"/>
      </w:rPr>
      <w:tcPr>
        <w:shd w:val="clear" w:fill="FFFFFF" w:color="FFFFFF" w:themeFill="text1" w:themeFillTint="34"/>
      </w:tcPr>
    </w:tblStylePr>
    <w:tblStylePr w:type="firstCol">
      <w:rPr>
        <w:b/>
        <w:color w:val="404040"/>
      </w:rPr>
    </w:tblStylePr>
    <w:tblStylePr w:type="firstRow">
      <w:rPr>
        <w:rFonts w:ascii="Arial" w:hAnsi="Arial"/>
        <w:b/>
        <w:color w:val="FFFFFF"/>
        <w:sz w:val="22"/>
      </w:rPr>
      <w:tcPr>
        <w:shd w:val="clear" w:fill="FFFFFF" w:color="FFFFFF" w:themeFill="text1"/>
        <w:tcBorders>
          <w:left w:val="single" w:color="000000" w:sz="4" w:space="0" w:themeColor="text1"/>
          <w:top w:val="single" w:color="000000" w:sz="4" w:space="0" w:themeColor="text1"/>
          <w:right w:val="single" w:color="000000" w:sz="4" w:space="0" w:themeColor="text1"/>
          <w:bottom w:val="single" w:color="000000" w:sz="4" w:space="0" w:themeColor="text1"/>
        </w:tcBorders>
      </w:tcPr>
    </w:tblStylePr>
    <w:tblStylePr w:type="lastCol">
      <w:rPr>
        <w:b/>
        <w:color w:val="404040"/>
      </w:rPr>
    </w:tblStylePr>
    <w:tblStylePr w:type="lastRow">
      <w:rPr>
        <w:b/>
        <w:color w:val="404040"/>
      </w:rPr>
      <w:tcPr>
        <w:tcBorders>
          <w:top w:val="single" w:color="000000" w:sz="4" w:space="0" w:themeColor="text1"/>
        </w:tcBorders>
      </w:tcPr>
    </w:tblStylePr>
  </w:style>
  <w:style w:type="table" w:styleId="1004">
    <w:name w:val="Grid Table 4 - Accent 1"/>
    <w:uiPriority w:val="59"/>
    <w:pPr>
      <w:spacing w:lineRule="auto" w:line="240" w:after="0"/>
    </w:pPr>
    <w:tblPr>
      <w:tblStyleRowBandSize w:val="1"/>
      <w:tblStyleColBandSize w:val="1"/>
      <w:tblInd w:w="0" w:type="dxa"/>
      <w:tblBorders>
        <w:left w:val="single" w:color="000000" w:sz="4" w:space="0" w:themeColor="accent1" w:themeTint="90"/>
        <w:top w:val="single" w:color="000000" w:sz="4" w:space="0" w:themeColor="accent1" w:themeTint="90"/>
        <w:right w:val="single" w:color="000000" w:sz="4" w:space="0" w:themeColor="accent1" w:themeTint="90"/>
        <w:bottom w:val="single" w:color="000000" w:sz="4" w:space="0" w:themeColor="accent1" w:themeTint="90"/>
        <w:insideV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fill="FFFFFF" w:color="FFFFFF" w:themeFill="accent1" w:themeFillTint="32"/>
      </w:tcPr>
    </w:tblStylePr>
    <w:tblStylePr w:type="band1Vert">
      <w:rPr>
        <w:rFonts w:ascii="Arial" w:hAnsi="Arial"/>
        <w:color w:val="404040"/>
        <w:sz w:val="22"/>
      </w:rPr>
      <w:tcPr>
        <w:shd w:val="clear" w:fill="FFFFFF" w:color="FFFFFF" w:themeFill="accent1" w:themeFillTint="32"/>
      </w:tcPr>
    </w:tblStylePr>
    <w:tblStylePr w:type="firstCol">
      <w:rPr>
        <w:b/>
        <w:color w:val="404040"/>
      </w:rPr>
    </w:tblStylePr>
    <w:tblStylePr w:type="firstRow">
      <w:rPr>
        <w:rFonts w:ascii="Arial" w:hAnsi="Arial"/>
        <w:b/>
        <w:color w:val="FFFFFF"/>
        <w:sz w:val="22"/>
      </w:rPr>
      <w:tcPr>
        <w:shd w:val="clear" w:fill="FFFFFF" w:color="FFFFFF" w:themeFill="accent1" w:themeFillTint="EA"/>
        <w:tcBorders>
          <w:left w:val="single" w:color="000000" w:sz="4" w:space="0" w:themeColor="accent1" w:themeTint="EA"/>
          <w:top w:val="single" w:color="000000" w:sz="4" w:space="0" w:themeColor="accent1" w:themeTint="EA"/>
          <w:right w:val="single" w:color="000000" w:sz="4" w:space="0" w:themeColor="accent1" w:themeTint="EA"/>
          <w:bottom w:val="single" w:color="000000" w:sz="4" w:space="0" w:themeColor="accent1" w:themeTint="EA"/>
        </w:tcBorders>
      </w:tcPr>
    </w:tblStylePr>
    <w:tblStylePr w:type="lastCol">
      <w:rPr>
        <w:b/>
        <w:color w:val="404040"/>
      </w:rPr>
    </w:tblStylePr>
    <w:tblStylePr w:type="lastRow">
      <w:rPr>
        <w:b/>
        <w:color w:val="404040"/>
      </w:rPr>
      <w:tcPr>
        <w:tcBorders>
          <w:top w:val="single" w:color="000000" w:sz="4" w:space="0" w:themeColor="accent1" w:themeTint="EA"/>
        </w:tcBorders>
      </w:tcPr>
    </w:tblStylePr>
  </w:style>
  <w:style w:type="table" w:styleId="1005">
    <w:name w:val="Grid Table 4 - Accent 2"/>
    <w:uiPriority w:val="59"/>
    <w:pPr>
      <w:spacing w:lineRule="auto" w:line="240" w:after="0"/>
    </w:pPr>
    <w:tblPr>
      <w:tblStyleRowBandSize w:val="1"/>
      <w:tblStyleColBandSize w:val="1"/>
      <w:tblInd w:w="0" w:type="dxa"/>
      <w:tblBorders>
        <w:left w:val="single" w:color="000000" w:sz="4" w:space="0" w:themeColor="accent2" w:themeTint="90"/>
        <w:top w:val="single" w:color="000000" w:sz="4" w:space="0" w:themeColor="accent2" w:themeTint="90"/>
        <w:right w:val="single" w:color="000000" w:sz="4" w:space="0" w:themeColor="accent2" w:themeTint="90"/>
        <w:bottom w:val="single" w:color="000000" w:sz="4" w:space="0" w:themeColor="accent2" w:themeTint="90"/>
        <w:insideV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fill="FFFFFF" w:color="FFFFFF" w:themeFill="accent2" w:themeFillTint="32"/>
      </w:tcPr>
    </w:tblStylePr>
    <w:tblStylePr w:type="band1Vert">
      <w:rPr>
        <w:rFonts w:ascii="Arial" w:hAnsi="Arial"/>
        <w:color w:val="404040"/>
        <w:sz w:val="22"/>
      </w:rPr>
      <w:tcPr>
        <w:shd w:val="clear" w:fill="FFFFFF" w:color="FFFFFF" w:themeFill="accent2" w:themeFillTint="32"/>
      </w:tcPr>
    </w:tblStylePr>
    <w:tblStylePr w:type="firstCol">
      <w:rPr>
        <w:b/>
        <w:color w:val="404040"/>
      </w:rPr>
    </w:tblStylePr>
    <w:tblStylePr w:type="firstRow">
      <w:rPr>
        <w:rFonts w:ascii="Arial" w:hAnsi="Arial"/>
        <w:b/>
        <w:color w:val="FFFFFF"/>
        <w:sz w:val="22"/>
      </w:rPr>
      <w:tcPr>
        <w:shd w:val="clear" w:fill="FFFFFF" w:color="FFFFFF" w:themeFill="accent2" w:themeFillTint="97"/>
        <w:tc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tcBorders>
      </w:tcPr>
    </w:tblStylePr>
    <w:tblStylePr w:type="lastCol">
      <w:rPr>
        <w:b/>
        <w:color w:val="404040"/>
      </w:rPr>
    </w:tblStylePr>
    <w:tblStylePr w:type="lastRow">
      <w:rPr>
        <w:b/>
        <w:color w:val="404040"/>
      </w:rPr>
      <w:tcPr>
        <w:tcBorders>
          <w:top w:val="single" w:color="000000" w:sz="4" w:space="0" w:themeColor="accent2" w:themeTint="97"/>
        </w:tcBorders>
      </w:tcPr>
    </w:tblStylePr>
  </w:style>
  <w:style w:type="table" w:styleId="1006">
    <w:name w:val="Grid Table 4 - Accent 3"/>
    <w:uiPriority w:val="59"/>
    <w:pPr>
      <w:spacing w:lineRule="auto" w:line="240" w:after="0"/>
    </w:pPr>
    <w:tblPr>
      <w:tblStyleRowBandSize w:val="1"/>
      <w:tblStyleColBandSize w:val="1"/>
      <w:tblInd w:w="0" w:type="dxa"/>
      <w:tblBorders>
        <w:left w:val="single" w:color="000000" w:sz="4" w:space="0" w:themeColor="accent3" w:themeTint="90"/>
        <w:top w:val="single" w:color="000000" w:sz="4" w:space="0" w:themeColor="accent3" w:themeTint="90"/>
        <w:right w:val="single" w:color="000000" w:sz="4" w:space="0" w:themeColor="accent3" w:themeTint="90"/>
        <w:bottom w:val="single" w:color="000000" w:sz="4" w:space="0" w:themeColor="accent3" w:themeTint="90"/>
        <w:insideV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fill="FFFFFF" w:color="FFFFFF" w:themeFill="accent3" w:themeFillTint="34"/>
      </w:tcPr>
    </w:tblStylePr>
    <w:tblStylePr w:type="band1Vert">
      <w:rPr>
        <w:rFonts w:ascii="Arial" w:hAnsi="Arial"/>
        <w:color w:val="404040"/>
        <w:sz w:val="22"/>
      </w:rPr>
      <w:tcPr>
        <w:shd w:val="clear" w:fill="FFFFFF" w:color="FFFFFF" w:themeFill="accent3" w:themeFillTint="34"/>
      </w:tcPr>
    </w:tblStylePr>
    <w:tblStylePr w:type="firstCol">
      <w:rPr>
        <w:b/>
        <w:color w:val="404040"/>
      </w:rPr>
    </w:tblStylePr>
    <w:tblStylePr w:type="firstRow">
      <w:rPr>
        <w:rFonts w:ascii="Arial" w:hAnsi="Arial"/>
        <w:b/>
        <w:color w:val="FFFFFF"/>
        <w:sz w:val="22"/>
      </w:rPr>
      <w:tcPr>
        <w:shd w:val="clear" w:fill="FFFFFF" w:color="FFFFFF" w:themeFill="accent3" w:themeFillTint="FE"/>
        <w:tcBorders>
          <w:left w:val="single" w:color="000000" w:sz="4" w:space="0" w:themeColor="accent3" w:themeTint="FE"/>
          <w:top w:val="single" w:color="000000" w:sz="4" w:space="0" w:themeColor="accent3" w:themeTint="FE"/>
          <w:right w:val="single" w:color="000000" w:sz="4" w:space="0" w:themeColor="accent3" w:themeTint="FE"/>
          <w:bottom w:val="single" w:color="000000" w:sz="4" w:space="0" w:themeColor="accent3" w:themeTint="FE"/>
        </w:tcBorders>
      </w:tcPr>
    </w:tblStylePr>
    <w:tblStylePr w:type="lastCol">
      <w:rPr>
        <w:b/>
        <w:color w:val="404040"/>
      </w:rPr>
    </w:tblStylePr>
    <w:tblStylePr w:type="lastRow">
      <w:rPr>
        <w:b/>
        <w:color w:val="404040"/>
      </w:rPr>
      <w:tcPr>
        <w:tcBorders>
          <w:top w:val="single" w:color="000000" w:sz="4" w:space="0" w:themeColor="accent3" w:themeTint="FE"/>
        </w:tcBorders>
      </w:tcPr>
    </w:tblStylePr>
  </w:style>
  <w:style w:type="table" w:styleId="1007">
    <w:name w:val="Grid Table 4 - Accent 4"/>
    <w:uiPriority w:val="59"/>
    <w:pPr>
      <w:spacing w:lineRule="auto" w:line="240" w:after="0"/>
    </w:pPr>
    <w:tblPr>
      <w:tblStyleRowBandSize w:val="1"/>
      <w:tblStyleColBandSize w:val="1"/>
      <w:tblInd w:w="0" w:type="dxa"/>
      <w:tblBorders>
        <w:left w:val="single" w:color="000000" w:sz="4" w:space="0" w:themeColor="accent4" w:themeTint="90"/>
        <w:top w:val="single" w:color="000000" w:sz="4" w:space="0" w:themeColor="accent4" w:themeTint="90"/>
        <w:right w:val="single" w:color="000000" w:sz="4" w:space="0" w:themeColor="accent4" w:themeTint="90"/>
        <w:bottom w:val="single" w:color="000000" w:sz="4" w:space="0" w:themeColor="accent4" w:themeTint="90"/>
        <w:insideV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fill="FFFFFF" w:color="FFFFFF" w:themeFill="accent4" w:themeFillTint="34"/>
      </w:tcPr>
    </w:tblStylePr>
    <w:tblStylePr w:type="band1Vert">
      <w:rPr>
        <w:rFonts w:ascii="Arial" w:hAnsi="Arial"/>
        <w:color w:val="404040"/>
        <w:sz w:val="22"/>
      </w:rPr>
      <w:tcPr>
        <w:shd w:val="clear" w:fill="FFFFFF" w:color="FFFFFF" w:themeFill="accent4" w:themeFillTint="34"/>
      </w:tcPr>
    </w:tblStylePr>
    <w:tblStylePr w:type="firstCol">
      <w:rPr>
        <w:b/>
        <w:color w:val="404040"/>
      </w:rPr>
    </w:tblStylePr>
    <w:tblStylePr w:type="firstRow">
      <w:rPr>
        <w:rFonts w:ascii="Arial" w:hAnsi="Arial"/>
        <w:b/>
        <w:color w:val="FFFFFF"/>
        <w:sz w:val="22"/>
      </w:rPr>
      <w:tcPr>
        <w:shd w:val="clear" w:fill="FFFFFF" w:color="FFFFFF" w:themeFill="accent4" w:themeFillTint="9A"/>
        <w:tc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tcBorders>
      </w:tcPr>
    </w:tblStylePr>
    <w:tblStylePr w:type="lastCol">
      <w:rPr>
        <w:b/>
        <w:color w:val="404040"/>
      </w:rPr>
    </w:tblStylePr>
    <w:tblStylePr w:type="lastRow">
      <w:rPr>
        <w:b/>
        <w:color w:val="404040"/>
      </w:rPr>
      <w:tcPr>
        <w:tcBorders>
          <w:top w:val="single" w:color="000000" w:sz="4" w:space="0" w:themeColor="accent4" w:themeTint="9A"/>
        </w:tcBorders>
      </w:tcPr>
    </w:tblStylePr>
  </w:style>
  <w:style w:type="table" w:styleId="1008">
    <w:name w:val="Grid Table 4 - Accent 5"/>
    <w:uiPriority w:val="59"/>
    <w:pPr>
      <w:spacing w:lineRule="auto" w:line="240" w:after="0"/>
    </w:pPr>
    <w:tblPr>
      <w:tblStyleRowBandSize w:val="1"/>
      <w:tblStyleColBandSize w:val="1"/>
      <w:tblInd w:w="0" w:type="dxa"/>
      <w:tblBorders>
        <w:left w:val="single" w:color="000000" w:sz="4" w:space="0" w:themeColor="accent5" w:themeTint="90"/>
        <w:top w:val="single" w:color="000000" w:sz="4" w:space="0" w:themeColor="accent5" w:themeTint="90"/>
        <w:right w:val="single" w:color="000000" w:sz="4" w:space="0" w:themeColor="accent5" w:themeTint="90"/>
        <w:bottom w:val="single" w:color="000000" w:sz="4" w:space="0" w:themeColor="accent5" w:themeTint="90"/>
        <w:insideV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fill="FFFFFF" w:color="FFFFFF" w:themeFill="accent5" w:themeFillTint="34"/>
      </w:tcPr>
    </w:tblStylePr>
    <w:tblStylePr w:type="band1Vert">
      <w:rPr>
        <w:rFonts w:ascii="Arial" w:hAnsi="Arial"/>
        <w:color w:val="404040"/>
        <w:sz w:val="22"/>
      </w:rPr>
      <w:tcPr>
        <w:shd w:val="clear" w:fill="FFFFFF" w:color="FFFFFF" w:themeFill="accent5" w:themeFillTint="34"/>
      </w:tcPr>
    </w:tblStylePr>
    <w:tblStylePr w:type="firstCol">
      <w:rPr>
        <w:b/>
        <w:color w:val="404040"/>
      </w:rPr>
    </w:tblStylePr>
    <w:tblStylePr w:type="firstRow">
      <w:rPr>
        <w:rFonts w:ascii="Arial" w:hAnsi="Arial"/>
        <w:b/>
        <w:color w:val="FFFFFF"/>
        <w:sz w:val="22"/>
      </w:rPr>
      <w:tcPr>
        <w:shd w:val="clear" w:fill="FFFFFF" w:color="FFFFFF" w:themeFill="accent5"/>
        <w:tcBorders>
          <w:left w:val="single" w:color="000000" w:sz="4" w:space="0" w:themeColor="accent5"/>
          <w:top w:val="single" w:color="000000" w:sz="4" w:space="0" w:themeColor="accent5"/>
          <w:right w:val="single" w:color="000000" w:sz="4" w:space="0" w:themeColor="accent5"/>
          <w:bottom w:val="single" w:color="000000" w:sz="4" w:space="0" w:themeColor="accent5"/>
        </w:tcBorders>
      </w:tcPr>
    </w:tblStylePr>
    <w:tblStylePr w:type="lastCol">
      <w:rPr>
        <w:b/>
        <w:color w:val="404040"/>
      </w:rPr>
    </w:tblStylePr>
    <w:tblStylePr w:type="lastRow">
      <w:rPr>
        <w:b/>
        <w:color w:val="404040"/>
      </w:rPr>
      <w:tcPr>
        <w:tcBorders>
          <w:top w:val="single" w:color="000000" w:sz="4" w:space="0" w:themeColor="accent5"/>
        </w:tcBorders>
      </w:tcPr>
    </w:tblStylePr>
  </w:style>
  <w:style w:type="table" w:styleId="1009">
    <w:name w:val="Grid Table 4 - Accent 6"/>
    <w:uiPriority w:val="59"/>
    <w:pPr>
      <w:spacing w:lineRule="auto" w:line="240" w:after="0"/>
    </w:pPr>
    <w:tblPr>
      <w:tblStyleRowBandSize w:val="1"/>
      <w:tblStyleColBandSize w:val="1"/>
      <w:tblInd w:w="0" w:type="dxa"/>
      <w:tblBorders>
        <w:left w:val="single" w:color="000000" w:sz="4" w:space="0" w:themeColor="accent6" w:themeTint="90"/>
        <w:top w:val="single" w:color="000000" w:sz="4" w:space="0" w:themeColor="accent6" w:themeTint="90"/>
        <w:right w:val="single" w:color="000000" w:sz="4" w:space="0" w:themeColor="accent6" w:themeTint="90"/>
        <w:bottom w:val="single" w:color="000000" w:sz="4" w:space="0" w:themeColor="accent6" w:themeTint="90"/>
        <w:insideV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fill="FFFFFF" w:color="FFFFFF" w:themeFill="accent6" w:themeFillTint="34"/>
      </w:tcPr>
    </w:tblStylePr>
    <w:tblStylePr w:type="band1Vert">
      <w:rPr>
        <w:rFonts w:ascii="Arial" w:hAnsi="Arial"/>
        <w:color w:val="404040"/>
        <w:sz w:val="22"/>
      </w:rPr>
      <w:tcPr>
        <w:shd w:val="clear" w:fill="FFFFFF" w:color="FFFFFF" w:themeFill="accent6" w:themeFillTint="34"/>
      </w:tcPr>
    </w:tblStylePr>
    <w:tblStylePr w:type="firstCol">
      <w:rPr>
        <w:b/>
        <w:color w:val="404040"/>
      </w:rPr>
    </w:tblStylePr>
    <w:tblStylePr w:type="firstRow">
      <w:rPr>
        <w:rFonts w:ascii="Arial" w:hAnsi="Arial"/>
        <w:b/>
        <w:color w:val="FFFFFF"/>
        <w:sz w:val="22"/>
      </w:rPr>
      <w:tcPr>
        <w:shd w:val="clear" w:fill="FFFFFF" w:color="FFFFFF" w:themeFill="accent6"/>
        <w:tcBorders>
          <w:left w:val="single" w:color="000000" w:sz="4" w:space="0" w:themeColor="accent6"/>
          <w:top w:val="single" w:color="000000" w:sz="4" w:space="0" w:themeColor="accent6"/>
          <w:right w:val="single" w:color="000000" w:sz="4" w:space="0" w:themeColor="accent6"/>
          <w:bottom w:val="single" w:color="000000" w:sz="4" w:space="0" w:themeColor="accent6"/>
        </w:tcBorders>
      </w:tcPr>
    </w:tblStylePr>
    <w:tblStylePr w:type="lastCol">
      <w:rPr>
        <w:b/>
        <w:color w:val="404040"/>
      </w:rPr>
    </w:tblStylePr>
    <w:tblStylePr w:type="lastRow">
      <w:rPr>
        <w:b/>
        <w:color w:val="404040"/>
      </w:rPr>
      <w:tcPr>
        <w:tcBorders>
          <w:top w:val="single" w:color="000000" w:sz="4" w:space="0" w:themeColor="accent6"/>
        </w:tcBorders>
      </w:tcPr>
    </w:tblStylePr>
  </w:style>
  <w:style w:type="table" w:styleId="1010">
    <w:name w:val="Grid Table 5 Dark"/>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fill="FFFFFF" w:color="FFFFFF" w:themeFill="text1" w:themeFillTint="40"/>
    </w:tblPr>
    <w:tblStylePr w:type="band1Horz">
      <w:tcPr>
        <w:shd w:val="clear" w:fill="FFFFFF" w:color="FFFFFF" w:themeFill="text1" w:themeFillTint="75"/>
      </w:tcPr>
    </w:tblStylePr>
    <w:tblStylePr w:type="band1Vert">
      <w:tcPr>
        <w:shd w:val="clear" w:fill="FFFFFF" w:color="FFFFFF" w:themeFill="text1" w:themeFillTint="75"/>
      </w:tcPr>
    </w:tblStylePr>
    <w:tblStylePr w:type="firstCol">
      <w:rPr>
        <w:rFonts w:ascii="Arial" w:hAnsi="Arial"/>
        <w:b/>
        <w:color w:val="FFFFFF"/>
        <w:sz w:val="22"/>
      </w:rPr>
      <w:tcPr>
        <w:shd w:val="clear" w:fill="FFFFFF" w:color="FFFFFF" w:themeFill="text1"/>
      </w:tcPr>
    </w:tblStylePr>
    <w:tblStylePr w:type="firstRow">
      <w:rPr>
        <w:rFonts w:ascii="Arial" w:hAnsi="Arial"/>
        <w:b/>
        <w:color w:val="FFFFFF"/>
        <w:sz w:val="22"/>
      </w:rPr>
      <w:tcPr>
        <w:shd w:val="clear" w:fill="FFFFFF" w:color="FFFFFF" w:themeFill="text1"/>
      </w:tcPr>
    </w:tblStylePr>
    <w:tblStylePr w:type="lastCol">
      <w:rPr>
        <w:rFonts w:ascii="Arial" w:hAnsi="Arial"/>
        <w:b/>
        <w:color w:val="FFFFFF"/>
        <w:sz w:val="22"/>
      </w:rPr>
      <w:tcPr>
        <w:shd w:val="clear" w:fill="FFFFFF" w:color="FFFFFF" w:themeFill="text1"/>
      </w:tcPr>
    </w:tblStylePr>
    <w:tblStylePr w:type="lastRow">
      <w:rPr>
        <w:rFonts w:ascii="Arial" w:hAnsi="Arial"/>
        <w:b/>
        <w:color w:val="FFFFFF"/>
        <w:sz w:val="22"/>
      </w:rPr>
      <w:tcPr>
        <w:shd w:val="clear" w:fill="FFFFFF" w:color="FFFFFF" w:themeFill="text1"/>
        <w:tcBorders>
          <w:top w:val="single" w:color="000000" w:sz="4" w:space="0" w:themeColor="light1"/>
        </w:tcBorders>
      </w:tcPr>
    </w:tblStylePr>
  </w:style>
  <w:style w:type="table" w:styleId="1011">
    <w:name w:val="Grid Table 5 Dark- Accent 1"/>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fill="FFFFFF" w:color="FFFFFF" w:themeFill="accent1" w:themeFillTint="34"/>
    </w:tblPr>
    <w:tblStylePr w:type="band1Horz">
      <w:tcPr>
        <w:shd w:val="clear" w:fill="FFFFFF" w:color="FFFFFF" w:themeFill="accent1" w:themeFillTint="75"/>
      </w:tcPr>
    </w:tblStylePr>
    <w:tblStylePr w:type="band1Vert">
      <w:tcPr>
        <w:shd w:val="clear" w:fill="FFFFFF" w:color="FFFFFF" w:themeFill="accent1" w:themeFillTint="75"/>
      </w:tcPr>
    </w:tblStylePr>
    <w:tblStylePr w:type="firstCol">
      <w:rPr>
        <w:rFonts w:ascii="Arial" w:hAnsi="Arial"/>
        <w:b/>
        <w:color w:val="FFFFFF"/>
        <w:sz w:val="22"/>
      </w:rPr>
      <w:tcPr>
        <w:shd w:val="clear" w:fill="FFFFFF" w:color="FFFFFF" w:themeFill="accent1"/>
      </w:tcPr>
    </w:tblStylePr>
    <w:tblStylePr w:type="firstRow">
      <w:rPr>
        <w:rFonts w:ascii="Arial" w:hAnsi="Arial"/>
        <w:b/>
        <w:color w:val="FFFFFF"/>
        <w:sz w:val="22"/>
      </w:rPr>
      <w:tcPr>
        <w:shd w:val="clear" w:fill="FFFFFF" w:color="FFFFFF" w:themeFill="accent1"/>
      </w:tcPr>
    </w:tblStylePr>
    <w:tblStylePr w:type="lastCol">
      <w:rPr>
        <w:rFonts w:ascii="Arial" w:hAnsi="Arial"/>
        <w:b/>
        <w:color w:val="FFFFFF"/>
        <w:sz w:val="22"/>
      </w:rPr>
      <w:tcPr>
        <w:shd w:val="clear" w:fill="FFFFFF" w:color="FFFFFF" w:themeFill="accent1"/>
      </w:tcPr>
    </w:tblStylePr>
    <w:tblStylePr w:type="lastRow">
      <w:rPr>
        <w:rFonts w:ascii="Arial" w:hAnsi="Arial"/>
        <w:b/>
        <w:color w:val="FFFFFF"/>
        <w:sz w:val="22"/>
      </w:rPr>
      <w:tcPr>
        <w:shd w:val="clear" w:fill="FFFFFF" w:color="FFFFFF" w:themeFill="accent1"/>
        <w:tcBorders>
          <w:top w:val="single" w:color="000000" w:sz="4" w:space="0" w:themeColor="light1"/>
        </w:tcBorders>
      </w:tcPr>
    </w:tblStylePr>
  </w:style>
  <w:style w:type="table" w:styleId="1012">
    <w:name w:val="Grid Table 5 Dark - Accent 2"/>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fill="FFFFFF" w:color="FFFFFF" w:themeFill="accent2" w:themeFillTint="32"/>
    </w:tblPr>
    <w:tblStylePr w:type="band1Horz">
      <w:tcPr>
        <w:shd w:val="clear" w:fill="FFFFFF" w:color="FFFFFF" w:themeFill="accent2" w:themeFillTint="75"/>
      </w:tcPr>
    </w:tblStylePr>
    <w:tblStylePr w:type="band1Vert">
      <w:tcPr>
        <w:shd w:val="clear" w:fill="FFFFFF" w:color="FFFFFF" w:themeFill="accent2" w:themeFillTint="75"/>
      </w:tcPr>
    </w:tblStylePr>
    <w:tblStylePr w:type="firstCol">
      <w:rPr>
        <w:rFonts w:ascii="Arial" w:hAnsi="Arial"/>
        <w:b/>
        <w:color w:val="FFFFFF"/>
        <w:sz w:val="22"/>
      </w:rPr>
      <w:tcPr>
        <w:shd w:val="clear" w:fill="FFFFFF" w:color="FFFFFF" w:themeFill="accent2"/>
      </w:tcPr>
    </w:tblStylePr>
    <w:tblStylePr w:type="firstRow">
      <w:rPr>
        <w:rFonts w:ascii="Arial" w:hAnsi="Arial"/>
        <w:b/>
        <w:color w:val="FFFFFF"/>
        <w:sz w:val="22"/>
      </w:rPr>
      <w:tcPr>
        <w:shd w:val="clear" w:fill="FFFFFF" w:color="FFFFFF" w:themeFill="accent2"/>
      </w:tcPr>
    </w:tblStylePr>
    <w:tblStylePr w:type="lastCol">
      <w:rPr>
        <w:rFonts w:ascii="Arial" w:hAnsi="Arial"/>
        <w:b/>
        <w:color w:val="FFFFFF"/>
        <w:sz w:val="22"/>
      </w:rPr>
      <w:tcPr>
        <w:shd w:val="clear" w:fill="FFFFFF" w:color="FFFFFF" w:themeFill="accent2"/>
      </w:tcPr>
    </w:tblStylePr>
    <w:tblStylePr w:type="lastRow">
      <w:rPr>
        <w:rFonts w:ascii="Arial" w:hAnsi="Arial"/>
        <w:b/>
        <w:color w:val="FFFFFF"/>
        <w:sz w:val="22"/>
      </w:rPr>
      <w:tcPr>
        <w:shd w:val="clear" w:fill="FFFFFF" w:color="FFFFFF" w:themeFill="accent2"/>
        <w:tcBorders>
          <w:top w:val="single" w:color="000000" w:sz="4" w:space="0" w:themeColor="light1"/>
        </w:tcBorders>
      </w:tcPr>
    </w:tblStylePr>
  </w:style>
  <w:style w:type="table" w:styleId="1013">
    <w:name w:val="Grid Table 5 Dark - Accent 3"/>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fill="FFFFFF" w:color="FFFFFF" w:themeFill="accent3" w:themeFillTint="34"/>
    </w:tblPr>
    <w:tblStylePr w:type="band1Horz">
      <w:tcPr>
        <w:shd w:val="clear" w:fill="FFFFFF" w:color="FFFFFF" w:themeFill="accent3" w:themeFillTint="75"/>
      </w:tcPr>
    </w:tblStylePr>
    <w:tblStylePr w:type="band1Vert">
      <w:tcPr>
        <w:shd w:val="clear" w:fill="FFFFFF" w:color="FFFFFF" w:themeFill="accent3" w:themeFillTint="75"/>
      </w:tcPr>
    </w:tblStylePr>
    <w:tblStylePr w:type="firstCol">
      <w:rPr>
        <w:rFonts w:ascii="Arial" w:hAnsi="Arial"/>
        <w:b/>
        <w:color w:val="FFFFFF"/>
        <w:sz w:val="22"/>
      </w:rPr>
      <w:tcPr>
        <w:shd w:val="clear" w:fill="FFFFFF" w:color="FFFFFF" w:themeFill="accent3"/>
      </w:tcPr>
    </w:tblStylePr>
    <w:tblStylePr w:type="firstRow">
      <w:rPr>
        <w:rFonts w:ascii="Arial" w:hAnsi="Arial"/>
        <w:b/>
        <w:color w:val="FFFFFF"/>
        <w:sz w:val="22"/>
      </w:rPr>
      <w:tcPr>
        <w:shd w:val="clear" w:fill="FFFFFF" w:color="FFFFFF" w:themeFill="accent3"/>
      </w:tcPr>
    </w:tblStylePr>
    <w:tblStylePr w:type="lastCol">
      <w:rPr>
        <w:rFonts w:ascii="Arial" w:hAnsi="Arial"/>
        <w:b/>
        <w:color w:val="FFFFFF"/>
        <w:sz w:val="22"/>
      </w:rPr>
      <w:tcPr>
        <w:shd w:val="clear" w:fill="FFFFFF" w:color="FFFFFF" w:themeFill="accent3"/>
      </w:tcPr>
    </w:tblStylePr>
    <w:tblStylePr w:type="lastRow">
      <w:rPr>
        <w:rFonts w:ascii="Arial" w:hAnsi="Arial"/>
        <w:b/>
        <w:color w:val="FFFFFF"/>
        <w:sz w:val="22"/>
      </w:rPr>
      <w:tcPr>
        <w:shd w:val="clear" w:fill="FFFFFF" w:color="FFFFFF" w:themeFill="accent3"/>
        <w:tcBorders>
          <w:top w:val="single" w:color="000000" w:sz="4" w:space="0" w:themeColor="light1"/>
        </w:tcBorders>
      </w:tcPr>
    </w:tblStylePr>
  </w:style>
  <w:style w:type="table" w:styleId="1014">
    <w:name w:val="Grid Table 5 Dark- Accent 4"/>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fill="FFFFFF" w:color="FFFFFF" w:themeFill="accent4" w:themeFillTint="34"/>
    </w:tblPr>
    <w:tblStylePr w:type="band1Horz">
      <w:tcPr>
        <w:shd w:val="clear" w:fill="FFFFFF" w:color="FFFFFF" w:themeFill="accent4" w:themeFillTint="75"/>
      </w:tcPr>
    </w:tblStylePr>
    <w:tblStylePr w:type="band1Vert">
      <w:tcPr>
        <w:shd w:val="clear" w:fill="FFFFFF" w:color="FFFFFF" w:themeFill="accent4" w:themeFillTint="75"/>
      </w:tcPr>
    </w:tblStylePr>
    <w:tblStylePr w:type="firstCol">
      <w:rPr>
        <w:rFonts w:ascii="Arial" w:hAnsi="Arial"/>
        <w:b/>
        <w:color w:val="FFFFFF"/>
        <w:sz w:val="22"/>
      </w:rPr>
      <w:tcPr>
        <w:shd w:val="clear" w:fill="FFFFFF" w:color="FFFFFF" w:themeFill="accent4"/>
      </w:tcPr>
    </w:tblStylePr>
    <w:tblStylePr w:type="firstRow">
      <w:rPr>
        <w:rFonts w:ascii="Arial" w:hAnsi="Arial"/>
        <w:b/>
        <w:color w:val="FFFFFF"/>
        <w:sz w:val="22"/>
      </w:rPr>
      <w:tcPr>
        <w:shd w:val="clear" w:fill="FFFFFF" w:color="FFFFFF" w:themeFill="accent4"/>
      </w:tcPr>
    </w:tblStylePr>
    <w:tblStylePr w:type="lastCol">
      <w:rPr>
        <w:rFonts w:ascii="Arial" w:hAnsi="Arial"/>
        <w:b/>
        <w:color w:val="FFFFFF"/>
        <w:sz w:val="22"/>
      </w:rPr>
      <w:tcPr>
        <w:shd w:val="clear" w:fill="FFFFFF" w:color="FFFFFF" w:themeFill="accent4"/>
      </w:tcPr>
    </w:tblStylePr>
    <w:tblStylePr w:type="lastRow">
      <w:rPr>
        <w:rFonts w:ascii="Arial" w:hAnsi="Arial"/>
        <w:b/>
        <w:color w:val="FFFFFF"/>
        <w:sz w:val="22"/>
      </w:rPr>
      <w:tcPr>
        <w:shd w:val="clear" w:fill="FFFFFF" w:color="FFFFFF" w:themeFill="accent4"/>
        <w:tcBorders>
          <w:top w:val="single" w:color="000000" w:sz="4" w:space="0" w:themeColor="light1"/>
        </w:tcBorders>
      </w:tcPr>
    </w:tblStylePr>
  </w:style>
  <w:style w:type="table" w:styleId="1015">
    <w:name w:val="Grid Table 5 Dark - Accent 5"/>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fill="FFFFFF" w:color="FFFFFF" w:themeFill="accent5" w:themeFillTint="34"/>
    </w:tblPr>
    <w:tblStylePr w:type="band1Horz">
      <w:tcPr>
        <w:shd w:val="clear" w:fill="FFFFFF" w:color="FFFFFF" w:themeFill="accent5" w:themeFillTint="75"/>
      </w:tcPr>
    </w:tblStylePr>
    <w:tblStylePr w:type="band1Vert">
      <w:tcPr>
        <w:shd w:val="clear" w:fill="FFFFFF" w:color="FFFFFF" w:themeFill="accent5" w:themeFillTint="75"/>
      </w:tcPr>
    </w:tblStylePr>
    <w:tblStylePr w:type="firstCol">
      <w:rPr>
        <w:rFonts w:ascii="Arial" w:hAnsi="Arial"/>
        <w:b/>
        <w:color w:val="FFFFFF"/>
        <w:sz w:val="22"/>
      </w:rPr>
      <w:tcPr>
        <w:shd w:val="clear" w:fill="FFFFFF" w:color="FFFFFF" w:themeFill="accent5"/>
      </w:tcPr>
    </w:tblStylePr>
    <w:tblStylePr w:type="firstRow">
      <w:rPr>
        <w:rFonts w:ascii="Arial" w:hAnsi="Arial"/>
        <w:b/>
        <w:color w:val="FFFFFF"/>
        <w:sz w:val="22"/>
      </w:rPr>
      <w:tcPr>
        <w:shd w:val="clear" w:fill="FFFFFF" w:color="FFFFFF" w:themeFill="accent5"/>
      </w:tcPr>
    </w:tblStylePr>
    <w:tblStylePr w:type="lastCol">
      <w:rPr>
        <w:rFonts w:ascii="Arial" w:hAnsi="Arial"/>
        <w:b/>
        <w:color w:val="FFFFFF"/>
        <w:sz w:val="22"/>
      </w:rPr>
      <w:tcPr>
        <w:shd w:val="clear" w:fill="FFFFFF" w:color="FFFFFF" w:themeFill="accent5"/>
      </w:tcPr>
    </w:tblStylePr>
    <w:tblStylePr w:type="lastRow">
      <w:rPr>
        <w:rFonts w:ascii="Arial" w:hAnsi="Arial"/>
        <w:b/>
        <w:color w:val="FFFFFF"/>
        <w:sz w:val="22"/>
      </w:rPr>
      <w:tcPr>
        <w:shd w:val="clear" w:fill="FFFFFF" w:color="FFFFFF" w:themeFill="accent5"/>
        <w:tcBorders>
          <w:top w:val="single" w:color="000000" w:sz="4" w:space="0" w:themeColor="light1"/>
        </w:tcBorders>
      </w:tcPr>
    </w:tblStylePr>
  </w:style>
  <w:style w:type="table" w:styleId="1016">
    <w:name w:val="Grid Table 5 Dark - Accent 6"/>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fill="FFFFFF" w:color="FFFFFF" w:themeFill="accent6" w:themeFillTint="34"/>
    </w:tblPr>
    <w:tblStylePr w:type="band1Horz">
      <w:tcPr>
        <w:shd w:val="clear" w:fill="FFFFFF" w:color="FFFFFF" w:themeFill="accent6" w:themeFillTint="75"/>
      </w:tcPr>
    </w:tblStylePr>
    <w:tblStylePr w:type="band1Vert">
      <w:tcPr>
        <w:shd w:val="clear" w:fill="FFFFFF" w:color="FFFFFF" w:themeFill="accent6" w:themeFillTint="75"/>
      </w:tcPr>
    </w:tblStylePr>
    <w:tblStylePr w:type="firstCol">
      <w:rPr>
        <w:rFonts w:ascii="Arial" w:hAnsi="Arial"/>
        <w:b/>
        <w:color w:val="FFFFFF"/>
        <w:sz w:val="22"/>
      </w:rPr>
      <w:tcPr>
        <w:shd w:val="clear" w:fill="FFFFFF" w:color="FFFFFF" w:themeFill="accent6"/>
      </w:tcPr>
    </w:tblStylePr>
    <w:tblStylePr w:type="firstRow">
      <w:rPr>
        <w:rFonts w:ascii="Arial" w:hAnsi="Arial"/>
        <w:b/>
        <w:color w:val="FFFFFF"/>
        <w:sz w:val="22"/>
      </w:rPr>
      <w:tcPr>
        <w:shd w:val="clear" w:fill="FFFFFF" w:color="FFFFFF" w:themeFill="accent6"/>
      </w:tcPr>
    </w:tblStylePr>
    <w:tblStylePr w:type="lastCol">
      <w:rPr>
        <w:rFonts w:ascii="Arial" w:hAnsi="Arial"/>
        <w:b/>
        <w:color w:val="FFFFFF"/>
        <w:sz w:val="22"/>
      </w:rPr>
      <w:tcPr>
        <w:shd w:val="clear" w:fill="FFFFFF" w:color="FFFFFF" w:themeFill="accent6"/>
      </w:tcPr>
    </w:tblStylePr>
    <w:tblStylePr w:type="lastRow">
      <w:rPr>
        <w:rFonts w:ascii="Arial" w:hAnsi="Arial"/>
        <w:b/>
        <w:color w:val="FFFFFF"/>
        <w:sz w:val="22"/>
      </w:rPr>
      <w:tcPr>
        <w:shd w:val="clear" w:fill="FFFFFF" w:color="FFFFFF" w:themeFill="accent6"/>
        <w:tcBorders>
          <w:top w:val="single" w:color="000000" w:sz="4" w:space="0" w:themeColor="light1"/>
        </w:tcBorders>
      </w:tcPr>
    </w:tblStylePr>
  </w:style>
  <w:style w:type="table" w:styleId="1017">
    <w:name w:val="Grid Table 6 Colorful"/>
    <w:uiPriority w:val="99"/>
    <w:pPr>
      <w:spacing w:lineRule="auto" w:line="240" w:after="0"/>
    </w:pPr>
    <w:tblPr>
      <w:tblStyleRowBandSize w:val="1"/>
      <w:tblStyleColBandSize w:val="1"/>
      <w:tblInd w:w="0" w:type="dxa"/>
      <w:tblBorders>
        <w:left w:val="single" w:color="000000" w:sz="4" w:space="0" w:themeColor="text1" w:themeTint="80"/>
        <w:top w:val="single" w:color="000000" w:sz="4" w:space="0" w:themeColor="text1" w:themeTint="80"/>
        <w:right w:val="single" w:color="000000" w:sz="4" w:space="0" w:themeColor="text1" w:themeTint="80"/>
        <w:bottom w:val="single" w:color="000000" w:sz="4" w:space="0" w:themeColor="text1" w:themeTint="80"/>
        <w:insideV w:val="single" w:color="000000" w:sz="4" w:space="0" w:themeColor="text1" w:themeTint="80"/>
        <w:insideH w:val="single" w:color="000000" w:sz="4" w:space="0" w:themeColor="text1" w:themeTint="80"/>
      </w:tblBorders>
    </w:tblPr>
    <w:tblStylePr w:type="band1Horz">
      <w:rPr>
        <w:rFonts w:ascii="Arial" w:hAnsi="Arial"/>
        <w:color w:val="404040" w:themeColor="text1" w:themeTint="80" w:themeShade="95"/>
        <w:sz w:val="22"/>
      </w:rPr>
      <w:tcPr>
        <w:shd w:val="clear" w:fill="FFFFFF" w:color="FFFFFF" w:themeFill="text1" w:themeFillTint="34"/>
      </w:tcPr>
    </w:tblStylePr>
    <w:tblStylePr w:type="band1Vert">
      <w:tcPr>
        <w:shd w:val="clear" w:fill="FFFFFF" w:color="FFFFFF"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sz="12" w:space="0" w:themeColor="text1" w:themeTint="8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1018">
    <w:name w:val="Grid Table 6 Colorful - Accent 1"/>
    <w:uiPriority w:val="99"/>
    <w:pPr>
      <w:spacing w:lineRule="auto" w:line="240" w:after="0"/>
    </w:pPr>
    <w:tblPr>
      <w:tblStyleRowBandSize w:val="1"/>
      <w:tblStyleColBandSize w:val="1"/>
      <w:tblInd w:w="0" w:type="dxa"/>
      <w:tblBorders>
        <w:left w:val="single" w:color="000000" w:sz="4" w:space="0" w:themeColor="accent1" w:themeTint="80"/>
        <w:top w:val="single" w:color="000000" w:sz="4" w:space="0" w:themeColor="accent1" w:themeTint="80"/>
        <w:right w:val="single" w:color="000000" w:sz="4" w:space="0" w:themeColor="accent1" w:themeTint="80"/>
        <w:bottom w:val="single" w:color="000000" w:sz="4" w:space="0" w:themeColor="accent1" w:themeTint="80"/>
        <w:insideV w:val="single" w:color="000000" w:sz="4" w:space="0" w:themeColor="accent1" w:themeTint="80"/>
        <w:insideH w:val="single" w:color="000000" w:sz="4" w:space="0" w:themeColor="accent1" w:themeTint="80"/>
      </w:tblBorders>
    </w:tblPr>
    <w:tblStylePr w:type="band1Horz">
      <w:rPr>
        <w:rFonts w:ascii="Arial" w:hAnsi="Arial"/>
        <w:color w:val="404040" w:themeColor="accent1" w:themeTint="80" w:themeShade="95"/>
        <w:sz w:val="22"/>
      </w:rPr>
      <w:tcPr>
        <w:shd w:val="clear" w:fill="FFFFFF" w:color="FFFFFF" w:themeFill="accent1" w:themeFillTint="34"/>
      </w:tcPr>
    </w:tblStylePr>
    <w:tblStylePr w:type="band1Vert">
      <w:tcPr>
        <w:shd w:val="clear" w:fill="FFFFFF" w:color="FFFFFF" w:themeFill="accent1" w:themeFillTint="34"/>
      </w:tcPr>
    </w:tblStylePr>
    <w:tblStylePr w:type="band2Horz">
      <w:rPr>
        <w:rFonts w:ascii="Arial" w:hAnsi="Arial"/>
        <w:color w:val="404040" w:themeColor="accent1" w:themeTint="80" w:themeShade="95"/>
        <w:sz w:val="22"/>
      </w:rPr>
    </w:tblStylePr>
    <w:tblStylePr w:type="firstCol">
      <w:rPr>
        <w:b/>
        <w:color w:val="3E70A3" w:themeColor="accent1" w:themeTint="80" w:themeShade="95"/>
      </w:rPr>
    </w:tblStylePr>
    <w:tblStylePr w:type="firstRow">
      <w:rPr>
        <w:b/>
        <w:color w:val="3E70A3" w:themeColor="accent1" w:themeTint="80" w:themeShade="95"/>
      </w:rPr>
      <w:tcPr>
        <w:tcBorders>
          <w:bottom w:val="single" w:color="000000" w:sz="12" w:space="0" w:themeColor="accent1" w:themeTint="80"/>
        </w:tcBorders>
      </w:tcPr>
    </w:tblStylePr>
    <w:tblStylePr w:type="lastCol">
      <w:rPr>
        <w:b/>
        <w:color w:val="3E70A3" w:themeColor="accent1" w:themeTint="80" w:themeShade="95"/>
      </w:rPr>
    </w:tblStylePr>
    <w:tblStylePr w:type="lastRow">
      <w:rPr>
        <w:b/>
        <w:color w:val="3E70A3" w:themeColor="accent1" w:themeTint="80" w:themeShade="95"/>
      </w:rPr>
    </w:tblStylePr>
    <w:tblStylePr w:type="wholeTable">
      <w:rPr>
        <w:rFonts w:ascii="Arial" w:hAnsi="Arial"/>
        <w:color w:val="404040" w:themeColor="accent1" w:themeTint="80" w:themeShade="95"/>
        <w:sz w:val="22"/>
      </w:rPr>
    </w:tblStylePr>
  </w:style>
  <w:style w:type="table" w:styleId="1019">
    <w:name w:val="Grid Table 6 Colorful - Accent 2"/>
    <w:uiPriority w:val="99"/>
    <w:pPr>
      <w:spacing w:lineRule="auto" w:line="240" w:after="0"/>
    </w:pPr>
    <w:tblPr>
      <w:tblStyleRowBandSize w:val="1"/>
      <w:tblStyleColBandSize w:val="1"/>
      <w:tblInd w:w="0" w:type="dxa"/>
      <w:tbl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themeColor="accent2" w:themeTint="97" w:themeShade="95"/>
        <w:sz w:val="22"/>
      </w:rPr>
      <w:tcPr>
        <w:shd w:val="clear" w:fill="FFFFFF" w:color="FFFFFF" w:themeFill="accent2" w:themeFillTint="32"/>
      </w:tcPr>
    </w:tblStylePr>
    <w:tblStylePr w:type="band1Vert">
      <w:tcPr>
        <w:shd w:val="clear" w:fill="FFFFFF" w:color="FFFFFF" w:themeFill="accent2" w:themeFillTint="32"/>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sz="12" w:space="0" w:themeColor="accent2" w:themeTint="97"/>
        </w:tcBorders>
      </w:tcPr>
    </w:tblStylePr>
    <w:tblStylePr w:type="lastCol">
      <w:rPr>
        <w:b/>
        <w:color w:val="9C3A37" w:themeColor="accent2" w:themeTint="97" w:themeShade="95"/>
      </w:rPr>
    </w:tblStylePr>
    <w:tblStylePr w:type="lastRow">
      <w:rPr>
        <w:b/>
        <w:color w:val="9C3A37" w:themeColor="accent2" w:themeTint="97" w:themeShade="95"/>
      </w:rPr>
    </w:tblStylePr>
    <w:tblStylePr w:type="wholeTable">
      <w:rPr>
        <w:rFonts w:ascii="Arial" w:hAnsi="Arial"/>
        <w:color w:val="404040" w:themeColor="accent2" w:themeTint="97" w:themeShade="95"/>
        <w:sz w:val="22"/>
      </w:rPr>
    </w:tblStylePr>
  </w:style>
  <w:style w:type="table" w:styleId="1020">
    <w:name w:val="Grid Table 6 Colorful - Accent 3"/>
    <w:uiPriority w:val="99"/>
    <w:pPr>
      <w:spacing w:lineRule="auto" w:line="240" w:after="0"/>
    </w:pPr>
    <w:tblPr>
      <w:tblStyleRowBandSize w:val="1"/>
      <w:tblStyleColBandSize w:val="1"/>
      <w:tblInd w:w="0" w:type="dxa"/>
      <w:tblBorders>
        <w:left w:val="single" w:color="000000" w:sz="4" w:space="0" w:themeColor="accent3" w:themeTint="FE"/>
        <w:top w:val="single" w:color="000000" w:sz="4" w:space="0" w:themeColor="accent3" w:themeTint="FE"/>
        <w:right w:val="single" w:color="000000" w:sz="4" w:space="0" w:themeColor="accent3" w:themeTint="FE"/>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themeColor="accent3" w:themeTint="FE" w:themeShade="95"/>
        <w:sz w:val="22"/>
      </w:rPr>
      <w:tcPr>
        <w:shd w:val="clear" w:fill="FFFFFF" w:color="FFFFFF" w:themeFill="accent3" w:themeFillTint="34"/>
      </w:tcPr>
    </w:tblStylePr>
    <w:tblStylePr w:type="band1Vert">
      <w:tcPr>
        <w:shd w:val="clear" w:fill="FFFFFF" w:color="FFFFFF" w:themeFill="accent3" w:themeFillTint="34"/>
      </w:tcPr>
    </w:tblStylePr>
    <w:tblStylePr w:type="band2Horz">
      <w:rPr>
        <w:rFonts w:ascii="Arial" w:hAnsi="Arial"/>
        <w:color w:val="404040" w:themeColor="accent3" w:themeTint="FE" w:themeShade="95"/>
        <w:sz w:val="22"/>
      </w:rPr>
    </w:tblStylePr>
    <w:tblStylePr w:type="firstCol">
      <w:rPr>
        <w:b/>
        <w:color w:val="5C702F" w:themeColor="accent3" w:themeTint="FE" w:themeShade="95"/>
      </w:rPr>
    </w:tblStylePr>
    <w:tblStylePr w:type="firstRow">
      <w:rPr>
        <w:b/>
        <w:color w:val="5C702F" w:themeColor="accent3" w:themeTint="FE" w:themeShade="95"/>
      </w:rPr>
      <w:tcPr>
        <w:tcBorders>
          <w:bottom w:val="single" w:color="000000" w:sz="12" w:space="0" w:themeColor="accent3" w:themeTint="FE"/>
        </w:tcBorders>
      </w:tcPr>
    </w:tblStylePr>
    <w:tblStylePr w:type="lastCol">
      <w:rPr>
        <w:b/>
        <w:color w:val="5C702F" w:themeColor="accent3" w:themeTint="FE" w:themeShade="95"/>
      </w:rPr>
    </w:tblStylePr>
    <w:tblStylePr w:type="lastRow">
      <w:rPr>
        <w:b/>
        <w:color w:val="5C702F" w:themeColor="accent3" w:themeTint="FE" w:themeShade="95"/>
      </w:rPr>
    </w:tblStylePr>
    <w:tblStylePr w:type="wholeTable">
      <w:rPr>
        <w:rFonts w:ascii="Arial" w:hAnsi="Arial"/>
        <w:color w:val="404040" w:themeColor="accent3" w:themeTint="FE" w:themeShade="95"/>
        <w:sz w:val="22"/>
      </w:rPr>
    </w:tblStylePr>
  </w:style>
  <w:style w:type="table" w:styleId="1021">
    <w:name w:val="Grid Table 6 Colorful - Accent 4"/>
    <w:uiPriority w:val="99"/>
    <w:pPr>
      <w:spacing w:lineRule="auto" w:line="240" w:after="0"/>
    </w:pPr>
    <w:tblPr>
      <w:tblStyleRowBandSize w:val="1"/>
      <w:tblStyleColBandSize w:val="1"/>
      <w:tblInd w:w="0" w:type="dxa"/>
      <w:tbl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themeColor="accent4" w:themeTint="9A" w:themeShade="95"/>
        <w:sz w:val="22"/>
      </w:rPr>
      <w:tcPr>
        <w:shd w:val="clear" w:fill="FFFFFF" w:color="FFFFFF" w:themeFill="accent4" w:themeFillTint="34"/>
      </w:tcPr>
    </w:tblStylePr>
    <w:tblStylePr w:type="band1Vert">
      <w:tcPr>
        <w:shd w:val="clear" w:fill="FFFFFF" w:color="FFFFFF" w:themeFill="accent4" w:themeFillTint="34"/>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sz="12" w:space="0" w:themeColor="accent4" w:themeTint="9A"/>
        </w:tcBorders>
      </w:tcPr>
    </w:tblStylePr>
    <w:tblStylePr w:type="lastCol">
      <w:rPr>
        <w:b/>
        <w:color w:val="664F82" w:themeColor="accent4" w:themeTint="9A" w:themeShade="95"/>
      </w:rPr>
    </w:tblStylePr>
    <w:tblStylePr w:type="lastRow">
      <w:rPr>
        <w:b/>
        <w:color w:val="664F82" w:themeColor="accent4" w:themeTint="9A" w:themeShade="95"/>
      </w:rPr>
    </w:tblStylePr>
    <w:tblStylePr w:type="wholeTable">
      <w:rPr>
        <w:rFonts w:ascii="Arial" w:hAnsi="Arial"/>
        <w:color w:val="404040" w:themeColor="accent4" w:themeTint="9A" w:themeShade="95"/>
        <w:sz w:val="22"/>
      </w:rPr>
    </w:tblStylePr>
  </w:style>
  <w:style w:type="table" w:styleId="1022">
    <w:name w:val="Grid Table 6 Colorful - Accent 5"/>
    <w:uiPriority w:val="99"/>
    <w:pPr>
      <w:spacing w:lineRule="auto" w:line="240" w:after="0"/>
    </w:pPr>
    <w:tblPr>
      <w:tblStyleRowBandSize w:val="1"/>
      <w:tblStyleColBandSize w:val="1"/>
      <w:tblInd w:w="0" w:type="dxa"/>
      <w:tblBorders>
        <w:left w:val="single" w:color="000000" w:sz="4" w:space="0" w:themeColor="accent5"/>
        <w:top w:val="single" w:color="000000" w:sz="4" w:space="0" w:themeColor="accent5"/>
        <w:right w:val="single" w:color="000000" w:sz="4" w:space="0" w:themeColor="accent5"/>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themeColor="accent5" w:themeShade="95"/>
        <w:sz w:val="22"/>
      </w:rPr>
      <w:tcPr>
        <w:shd w:val="clear" w:fill="FFFFFF" w:color="FFFFFF" w:themeFill="accent5" w:themeFillTint="34"/>
      </w:tcPr>
    </w:tblStylePr>
    <w:tblStylePr w:type="band1Vert">
      <w:tcPr>
        <w:shd w:val="clear" w:fill="FFFFFF" w:color="FFFFFF" w:themeFill="accent5"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sz="12" w:space="0" w:themeColor="accent5"/>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1023">
    <w:name w:val="Grid Table 6 Colorful - Accent 6"/>
    <w:uiPriority w:val="99"/>
    <w:pPr>
      <w:spacing w:lineRule="auto" w:line="240" w:after="0"/>
    </w:pPr>
    <w:tblPr>
      <w:tblStyleRowBandSize w:val="1"/>
      <w:tblStyleColBandSize w:val="1"/>
      <w:tblInd w:w="0" w:type="dxa"/>
      <w:tblBorders>
        <w:left w:val="single" w:color="000000" w:sz="4" w:space="0" w:themeColor="accent6"/>
        <w:top w:val="single" w:color="000000" w:sz="4" w:space="0" w:themeColor="accent6"/>
        <w:right w:val="single" w:color="000000" w:sz="4" w:space="0" w:themeColor="accent6"/>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themeColor="accent5" w:themeShade="95"/>
        <w:sz w:val="22"/>
      </w:rPr>
      <w:tcPr>
        <w:shd w:val="clear" w:fill="FFFFFF" w:color="FFFFFF" w:themeFill="accent6" w:themeFillTint="34"/>
      </w:tcPr>
    </w:tblStylePr>
    <w:tblStylePr w:type="band1Vert">
      <w:tcPr>
        <w:shd w:val="clear" w:fill="FFFFFF" w:color="FFFFFF" w:themeFill="accent6"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sz="12" w:space="0" w:themeColor="accent6"/>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1024">
    <w:name w:val="Grid Table 7 Colorful"/>
    <w:uiPriority w:val="99"/>
    <w:pPr>
      <w:spacing w:lineRule="auto" w:line="240" w:after="0"/>
    </w:pPr>
    <w:tblPr>
      <w:tblStyleRowBandSize w:val="1"/>
      <w:tblStyleColBandSize w:val="1"/>
      <w:tblInd w:w="0" w:type="dxa"/>
      <w:tblBorders>
        <w:right w:val="single" w:color="000000" w:sz="4" w:space="0" w:themeColor="text1" w:themeTint="80"/>
        <w:bottom w:val="single" w:color="000000" w:sz="4" w:space="0" w:themeColor="text1" w:themeTint="80"/>
        <w:insideV w:val="single" w:color="000000" w:sz="4" w:space="0" w:themeColor="text1" w:themeTint="80"/>
        <w:insideH w:val="single" w:color="000000" w:sz="4" w:space="0" w:themeColor="text1" w:themeTint="80"/>
      </w:tblBorders>
    </w:tblPr>
    <w:tblStylePr w:type="band1Horz">
      <w:rPr>
        <w:rFonts w:ascii="Arial" w:hAnsi="Arial"/>
        <w:color w:val="4A4A4A" w:themeColor="text1" w:themeTint="80" w:themeShade="95"/>
        <w:sz w:val="22"/>
      </w:rPr>
      <w:tcPr>
        <w:shd w:val="clear" w:fill="FFFFFF" w:color="FFFFFF" w:themeFill="text1" w:themeFillTint="0D"/>
      </w:tcPr>
    </w:tblStylePr>
    <w:tblStylePr w:type="band1Vert">
      <w:tcPr>
        <w:shd w:val="clear" w:fill="FFFFFF" w:color="FFFFFF"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fill="FFFFFF" w:color="FFFFFF"/>
        <w:tcBorders>
          <w:left w:val="none" w:color="000000" w:sz="4" w:space="0"/>
          <w:top w:val="none" w:color="000000" w:sz="4" w:space="0"/>
          <w:right w:val="single" w:color="000000" w:sz="4" w:space="0" w:themeColor="text1" w:themeTint="80"/>
          <w:bottom w:val="none" w:color="000000" w:sz="4" w:space="0"/>
        </w:tcBorders>
      </w:tcPr>
    </w:tblStylePr>
    <w:tblStylePr w:type="firstRow">
      <w:rPr>
        <w:rFonts w:ascii="Arial" w:hAnsi="Arial"/>
        <w:b/>
        <w:color w:val="4A4A4A" w:themeColor="text1" w:themeTint="80" w:themeShade="95"/>
        <w:sz w:val="22"/>
      </w:rPr>
      <w:tcPr>
        <w:shd w:val="clear" w:fill="FFFFFF" w:color="FFFFFF" w:themeFill="light1"/>
        <w:tcBorders>
          <w:left w:val="none" w:color="000000" w:sz="4" w:space="0"/>
          <w:top w:val="none" w:color="000000" w:sz="4" w:space="0"/>
          <w:right w:val="none" w:color="000000" w:sz="4" w:space="0"/>
          <w:bottom w:val="single" w:color="000000" w:sz="4" w:space="0" w:themeColor="text1" w:themeTint="80"/>
        </w:tcBorders>
      </w:tcPr>
    </w:tblStylePr>
    <w:tblStylePr w:type="lastCol">
      <w:rPr>
        <w:rFonts w:ascii="Arial" w:hAnsi="Arial"/>
        <w:i/>
        <w:color w:val="4A4A4A" w:themeColor="text1" w:themeTint="80" w:themeShade="95"/>
        <w:sz w:val="22"/>
      </w:rPr>
      <w:tcPr>
        <w:shd w:val="clear" w:fill="FFFFFF" w:color="FFFFFF"/>
        <w:tcBorders>
          <w:left w:val="single" w:color="000000" w:sz="4" w:space="0" w:themeColor="text1" w:themeTint="80"/>
          <w:top w:val="none" w:color="000000" w:sz="4" w:space="0"/>
          <w:right w:val="none" w:color="000000" w:sz="4" w:space="0"/>
          <w:bottom w:val="none" w:color="000000" w:sz="4" w:space="0"/>
        </w:tcBorders>
      </w:tcPr>
    </w:tblStylePr>
    <w:tblStylePr w:type="lastRow">
      <w:rPr>
        <w:rFonts w:ascii="Arial" w:hAnsi="Arial"/>
        <w:b/>
        <w:color w:val="4A4A4A" w:themeColor="text1" w:themeTint="80" w:themeShade="95"/>
        <w:sz w:val="22"/>
      </w:rPr>
      <w:tcPr>
        <w:shd w:val="clear" w:fill="FFFFFF" w:color="FFFFFF" w:themeFill="light1"/>
        <w:tcBorders>
          <w:left w:val="none" w:color="000000" w:sz="4" w:space="0"/>
          <w:top w:val="single" w:color="000000" w:sz="4" w:space="0" w:themeColor="text1" w:themeTint="80"/>
          <w:right w:val="none" w:color="000000" w:sz="4" w:space="0"/>
          <w:bottom w:val="none" w:color="000000" w:sz="4" w:space="0"/>
        </w:tcBorders>
      </w:tcPr>
    </w:tblStylePr>
  </w:style>
  <w:style w:type="table" w:styleId="1025">
    <w:name w:val="Grid Table 7 Colorful - Accent 1"/>
    <w:uiPriority w:val="99"/>
    <w:pPr>
      <w:spacing w:lineRule="auto" w:line="240" w:after="0"/>
    </w:pPr>
    <w:tblPr>
      <w:tblStyleRowBandSize w:val="1"/>
      <w:tblStyleColBandSize w:val="1"/>
      <w:tblInd w:w="0" w:type="dxa"/>
      <w:tblBorders>
        <w:right w:val="single" w:color="000000" w:sz="4" w:space="0" w:themeColor="accent1" w:themeTint="80"/>
        <w:bottom w:val="single" w:color="000000" w:sz="4" w:space="0" w:themeColor="accent1" w:themeTint="80"/>
        <w:insideV w:val="single" w:color="000000" w:sz="4" w:space="0" w:themeColor="accent1" w:themeTint="80"/>
        <w:insideH w:val="single" w:color="000000" w:sz="4" w:space="0" w:themeColor="accent1" w:themeTint="80"/>
      </w:tblBorders>
    </w:tblPr>
    <w:tblStylePr w:type="band1Horz">
      <w:rPr>
        <w:rFonts w:ascii="Arial" w:hAnsi="Arial"/>
        <w:color w:val="3E70A3" w:themeColor="accent1" w:themeTint="80" w:themeShade="95"/>
        <w:sz w:val="22"/>
      </w:rPr>
      <w:tcPr>
        <w:shd w:val="clear" w:fill="FFFFFF" w:color="FFFFFF" w:themeFill="accent1" w:themeFillTint="34"/>
      </w:tcPr>
    </w:tblStylePr>
    <w:tblStylePr w:type="band1Vert">
      <w:tcPr>
        <w:shd w:val="clear" w:fill="FFFFFF" w:color="FFFFFF" w:themeFill="accent1" w:themeFillTint="34"/>
      </w:tcPr>
    </w:tblStylePr>
    <w:tblStylePr w:type="band2Horz">
      <w:rPr>
        <w:rFonts w:ascii="Arial" w:hAnsi="Arial"/>
        <w:color w:val="3E70A3" w:themeColor="accent1" w:themeTint="80" w:themeShade="95"/>
        <w:sz w:val="22"/>
      </w:rPr>
    </w:tblStylePr>
    <w:tblStylePr w:type="firstCol">
      <w:rPr>
        <w:rFonts w:ascii="Arial" w:hAnsi="Arial"/>
        <w:i/>
        <w:color w:val="3E70A3" w:themeColor="accent1" w:themeTint="80" w:themeShade="95"/>
        <w:sz w:val="22"/>
      </w:rPr>
      <w:pPr>
        <w:jc w:val="right"/>
      </w:pPr>
      <w:tcPr>
        <w:shd w:val="clear" w:fill="FFFFFF" w:color="FFFFFF"/>
        <w:tcBorders>
          <w:left w:val="none" w:color="000000" w:sz="4" w:space="0"/>
          <w:top w:val="none" w:color="000000" w:sz="4" w:space="0"/>
          <w:right w:val="single" w:color="000000" w:sz="4" w:space="0" w:themeColor="accent1" w:themeTint="80"/>
          <w:bottom w:val="none" w:color="000000" w:sz="4" w:space="0"/>
        </w:tcBorders>
      </w:tcPr>
    </w:tblStylePr>
    <w:tblStylePr w:type="firstRow">
      <w:rPr>
        <w:rFonts w:ascii="Arial" w:hAnsi="Arial"/>
        <w:b/>
        <w:color w:val="3E70A3" w:themeColor="accent1" w:themeTint="80" w:themeShade="95"/>
        <w:sz w:val="22"/>
      </w:rPr>
      <w:tcPr>
        <w:shd w:val="clear" w:fill="FFFFFF" w:color="FFFFFF" w:themeFill="light1"/>
        <w:tcBorders>
          <w:left w:val="none" w:color="000000" w:sz="4" w:space="0"/>
          <w:top w:val="none" w:color="000000" w:sz="4" w:space="0"/>
          <w:right w:val="none" w:color="000000" w:sz="4" w:space="0"/>
          <w:bottom w:val="single" w:color="000000" w:sz="4" w:space="0" w:themeColor="accent1" w:themeTint="80"/>
        </w:tcBorders>
      </w:tcPr>
    </w:tblStylePr>
    <w:tblStylePr w:type="lastCol">
      <w:rPr>
        <w:rFonts w:ascii="Arial" w:hAnsi="Arial"/>
        <w:i/>
        <w:color w:val="3E70A3" w:themeColor="accent1" w:themeTint="80" w:themeShade="95"/>
        <w:sz w:val="22"/>
      </w:rPr>
      <w:tcPr>
        <w:shd w:val="clear" w:fill="FFFFFF" w:color="FFFFFF"/>
        <w:tcBorders>
          <w:left w:val="single" w:color="000000" w:sz="4" w:space="0" w:themeColor="accent1" w:themeTint="80"/>
          <w:top w:val="none" w:color="000000" w:sz="4" w:space="0"/>
          <w:right w:val="none" w:color="000000" w:sz="4" w:space="0"/>
          <w:bottom w:val="none" w:color="000000" w:sz="4" w:space="0"/>
        </w:tcBorders>
      </w:tcPr>
    </w:tblStylePr>
    <w:tblStylePr w:type="lastRow">
      <w:rPr>
        <w:rFonts w:ascii="Arial" w:hAnsi="Arial"/>
        <w:b/>
        <w:color w:val="3E70A3" w:themeColor="accent1" w:themeTint="80" w:themeShade="95"/>
        <w:sz w:val="22"/>
      </w:rPr>
      <w:tcPr>
        <w:shd w:val="clear" w:fill="FFFFFF" w:color="FFFFFF" w:themeFill="light1"/>
        <w:tcBorders>
          <w:left w:val="none" w:color="000000" w:sz="4" w:space="0"/>
          <w:top w:val="single" w:color="000000" w:sz="4" w:space="0" w:themeColor="accent1" w:themeTint="80"/>
          <w:right w:val="none" w:color="000000" w:sz="4" w:space="0"/>
          <w:bottom w:val="none" w:color="000000" w:sz="4" w:space="0"/>
        </w:tcBorders>
      </w:tcPr>
    </w:tblStylePr>
  </w:style>
  <w:style w:type="table" w:styleId="1026">
    <w:name w:val="Grid Table 7 Colorful - Accent 2"/>
    <w:uiPriority w:val="99"/>
    <w:pPr>
      <w:spacing w:lineRule="auto" w:line="240" w:after="0"/>
    </w:pPr>
    <w:tblPr>
      <w:tblStyleRowBandSize w:val="1"/>
      <w:tblStyleColBandSize w:val="1"/>
      <w:tblInd w:w="0" w:type="dxa"/>
      <w:tblBorders>
        <w:right w:val="single" w:color="000000" w:sz="4" w:space="0" w:themeColor="accent2" w:themeTint="97"/>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9C3A37" w:themeColor="accent2" w:themeTint="97" w:themeShade="95"/>
        <w:sz w:val="22"/>
      </w:rPr>
      <w:tcPr>
        <w:shd w:val="clear" w:fill="FFFFFF" w:color="FFFFFF" w:themeFill="accent2" w:themeFillTint="32"/>
      </w:tcPr>
    </w:tblStylePr>
    <w:tblStylePr w:type="band1Vert">
      <w:tcPr>
        <w:shd w:val="clear" w:fill="FFFFFF" w:color="FFFFFF" w:themeFill="accent2" w:themeFillTint="32"/>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val="clear" w:fill="FFFFFF" w:color="FFFFFF"/>
        <w:tcBorders>
          <w:left w:val="none" w:color="000000" w:sz="4" w:space="0"/>
          <w:top w:val="none" w:color="000000" w:sz="4" w:space="0"/>
          <w:right w:val="single" w:color="000000" w:sz="4" w:space="0" w:themeColor="accent2" w:themeTint="97"/>
          <w:bottom w:val="none" w:color="000000" w:sz="4" w:space="0"/>
        </w:tcBorders>
      </w:tcPr>
    </w:tblStylePr>
    <w:tblStylePr w:type="firstRow">
      <w:rPr>
        <w:rFonts w:ascii="Arial" w:hAnsi="Arial"/>
        <w:b/>
        <w:color w:val="9C3A37" w:themeColor="accent2" w:themeTint="97" w:themeShade="95"/>
        <w:sz w:val="22"/>
      </w:rPr>
      <w:tcPr>
        <w:shd w:val="clear" w:fill="FFFFFF" w:color="FFFFFF" w:themeFill="light1"/>
        <w:tcBorders>
          <w:left w:val="none" w:color="000000" w:sz="4" w:space="0"/>
          <w:top w:val="none" w:color="000000" w:sz="4" w:space="0"/>
          <w:right w:val="none" w:color="000000" w:sz="4" w:space="0"/>
          <w:bottom w:val="single" w:color="000000" w:sz="4" w:space="0" w:themeColor="accent2" w:themeTint="97"/>
        </w:tcBorders>
      </w:tcPr>
    </w:tblStylePr>
    <w:tblStylePr w:type="lastCol">
      <w:rPr>
        <w:rFonts w:ascii="Arial" w:hAnsi="Arial"/>
        <w:i/>
        <w:color w:val="9C3A37" w:themeColor="accent2" w:themeTint="97" w:themeShade="95"/>
        <w:sz w:val="22"/>
      </w:rPr>
      <w:tcPr>
        <w:shd w:val="clear" w:fill="FFFFFF" w:color="FFFFFF"/>
        <w:tcBorders>
          <w:left w:val="single" w:color="000000" w:sz="4" w:space="0" w:themeColor="accent2" w:themeTint="97"/>
          <w:top w:val="none" w:color="000000" w:sz="4" w:space="0"/>
          <w:right w:val="none" w:color="000000" w:sz="4" w:space="0"/>
          <w:bottom w:val="none" w:color="000000" w:sz="4" w:space="0"/>
        </w:tcBorders>
      </w:tcPr>
    </w:tblStylePr>
    <w:tblStylePr w:type="lastRow">
      <w:rPr>
        <w:rFonts w:ascii="Arial" w:hAnsi="Arial"/>
        <w:b/>
        <w:color w:val="9C3A37" w:themeColor="accent2" w:themeTint="97" w:themeShade="95"/>
        <w:sz w:val="22"/>
      </w:rPr>
      <w:tcPr>
        <w:shd w:val="clear" w:fill="FFFFFF" w:color="FFFFFF" w:themeFill="light1"/>
        <w:tcBorders>
          <w:left w:val="none" w:color="000000" w:sz="4" w:space="0"/>
          <w:top w:val="single" w:color="000000" w:sz="4" w:space="0" w:themeColor="accent2" w:themeTint="97"/>
          <w:right w:val="none" w:color="000000" w:sz="4" w:space="0"/>
          <w:bottom w:val="none" w:color="000000" w:sz="4" w:space="0"/>
        </w:tcBorders>
      </w:tcPr>
    </w:tblStylePr>
  </w:style>
  <w:style w:type="table" w:styleId="1027">
    <w:name w:val="Grid Table 7 Colorful - Accent 3"/>
    <w:uiPriority w:val="99"/>
    <w:pPr>
      <w:spacing w:lineRule="auto" w:line="240" w:after="0"/>
    </w:pPr>
    <w:tblPr>
      <w:tblStyleRowBandSize w:val="1"/>
      <w:tblStyleColBandSize w:val="1"/>
      <w:tblInd w:w="0" w:type="dxa"/>
      <w:tblBorders>
        <w:right w:val="single" w:color="000000" w:sz="4" w:space="0" w:themeColor="accent3" w:themeTint="FE"/>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5C702F" w:themeColor="accent3" w:themeTint="FE" w:themeShade="95"/>
        <w:sz w:val="22"/>
      </w:rPr>
      <w:tcPr>
        <w:shd w:val="clear" w:fill="FFFFFF" w:color="FFFFFF" w:themeFill="accent3" w:themeFillTint="34"/>
      </w:tcPr>
    </w:tblStylePr>
    <w:tblStylePr w:type="band1Vert">
      <w:tcPr>
        <w:shd w:val="clear" w:fill="FFFFFF" w:color="FFFFFF" w:themeFill="accent3" w:themeFillTint="34"/>
      </w:tcPr>
    </w:tblStylePr>
    <w:tblStylePr w:type="band2Horz">
      <w:rPr>
        <w:rFonts w:ascii="Arial" w:hAnsi="Arial"/>
        <w:color w:val="5C702F" w:themeColor="accent3" w:themeTint="FE" w:themeShade="95"/>
        <w:sz w:val="22"/>
      </w:rPr>
    </w:tblStylePr>
    <w:tblStylePr w:type="firstCol">
      <w:rPr>
        <w:rFonts w:ascii="Arial" w:hAnsi="Arial"/>
        <w:i/>
        <w:color w:val="5C702F" w:themeColor="accent3" w:themeTint="FE" w:themeShade="95"/>
        <w:sz w:val="22"/>
      </w:rPr>
      <w:pPr>
        <w:jc w:val="right"/>
      </w:pPr>
      <w:tcPr>
        <w:shd w:val="clear" w:fill="FFFFFF" w:color="FFFFFF"/>
        <w:tcBorders>
          <w:left w:val="none" w:color="000000" w:sz="4" w:space="0"/>
          <w:top w:val="none" w:color="000000" w:sz="4" w:space="0"/>
          <w:right w:val="single" w:color="000000" w:sz="4" w:space="0" w:themeColor="accent3" w:themeTint="FE"/>
          <w:bottom w:val="none" w:color="000000" w:sz="4" w:space="0"/>
        </w:tcBorders>
      </w:tcPr>
    </w:tblStylePr>
    <w:tblStylePr w:type="firstRow">
      <w:rPr>
        <w:rFonts w:ascii="Arial" w:hAnsi="Arial"/>
        <w:b/>
        <w:color w:val="5C702F" w:themeColor="accent3" w:themeTint="FE" w:themeShade="95"/>
        <w:sz w:val="22"/>
      </w:rPr>
      <w:tcPr>
        <w:shd w:val="clear" w:fill="FFFFFF" w:color="FFFFFF" w:themeFill="light1"/>
        <w:tcBorders>
          <w:left w:val="none" w:color="000000" w:sz="4" w:space="0"/>
          <w:top w:val="none" w:color="000000" w:sz="4" w:space="0"/>
          <w:right w:val="none" w:color="000000" w:sz="4" w:space="0"/>
          <w:bottom w:val="single" w:color="000000" w:sz="4" w:space="0" w:themeColor="accent3" w:themeTint="FE"/>
        </w:tcBorders>
      </w:tcPr>
    </w:tblStylePr>
    <w:tblStylePr w:type="lastCol">
      <w:rPr>
        <w:rFonts w:ascii="Arial" w:hAnsi="Arial"/>
        <w:i/>
        <w:color w:val="5C702F" w:themeColor="accent3" w:themeTint="FE" w:themeShade="95"/>
        <w:sz w:val="22"/>
      </w:rPr>
      <w:tcPr>
        <w:shd w:val="clear" w:fill="FFFFFF" w:color="FFFFFF"/>
        <w:tcBorders>
          <w:left w:val="single" w:color="000000" w:sz="4" w:space="0" w:themeColor="accent3" w:themeTint="FE"/>
          <w:top w:val="none" w:color="000000" w:sz="4" w:space="0"/>
          <w:right w:val="none" w:color="000000" w:sz="4" w:space="0"/>
          <w:bottom w:val="none" w:color="000000" w:sz="4" w:space="0"/>
        </w:tcBorders>
      </w:tcPr>
    </w:tblStylePr>
    <w:tblStylePr w:type="lastRow">
      <w:rPr>
        <w:rFonts w:ascii="Arial" w:hAnsi="Arial"/>
        <w:b/>
        <w:color w:val="5C702F" w:themeColor="accent3" w:themeTint="FE" w:themeShade="95"/>
        <w:sz w:val="22"/>
      </w:rPr>
      <w:tcPr>
        <w:shd w:val="clear" w:fill="FFFFFF" w:color="FFFFFF" w:themeFill="light1"/>
        <w:tcBorders>
          <w:left w:val="none" w:color="000000" w:sz="4" w:space="0"/>
          <w:top w:val="single" w:color="000000" w:sz="4" w:space="0" w:themeColor="accent3" w:themeTint="FE"/>
          <w:right w:val="none" w:color="000000" w:sz="4" w:space="0"/>
          <w:bottom w:val="none" w:color="000000" w:sz="4" w:space="0"/>
        </w:tcBorders>
      </w:tcPr>
    </w:tblStylePr>
  </w:style>
  <w:style w:type="table" w:styleId="1028">
    <w:name w:val="Grid Table 7 Colorful - Accent 4"/>
    <w:uiPriority w:val="99"/>
    <w:pPr>
      <w:spacing w:lineRule="auto" w:line="240" w:after="0"/>
    </w:pPr>
    <w:tblPr>
      <w:tblStyleRowBandSize w:val="1"/>
      <w:tblStyleColBandSize w:val="1"/>
      <w:tblInd w:w="0" w:type="dxa"/>
      <w:tblBorders>
        <w:right w:val="single" w:color="000000" w:sz="4" w:space="0" w:themeColor="accent4" w:themeTint="9A"/>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664F82" w:themeColor="accent4" w:themeTint="9A" w:themeShade="95"/>
        <w:sz w:val="22"/>
      </w:rPr>
      <w:tcPr>
        <w:shd w:val="clear" w:fill="FFFFFF" w:color="FFFFFF" w:themeFill="accent4" w:themeFillTint="34"/>
      </w:tcPr>
    </w:tblStylePr>
    <w:tblStylePr w:type="band1Vert">
      <w:tcPr>
        <w:shd w:val="clear" w:fill="FFFFFF" w:color="FFFFFF" w:themeFill="accent4" w:themeFillTint="34"/>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val="clear" w:fill="FFFFFF" w:color="FFFFFF"/>
        <w:tcBorders>
          <w:left w:val="none" w:color="000000" w:sz="4" w:space="0"/>
          <w:top w:val="none" w:color="000000" w:sz="4" w:space="0"/>
          <w:right w:val="single" w:color="000000" w:sz="4" w:space="0" w:themeColor="accent4" w:themeTint="9A"/>
          <w:bottom w:val="none" w:color="000000" w:sz="4" w:space="0"/>
        </w:tcBorders>
      </w:tcPr>
    </w:tblStylePr>
    <w:tblStylePr w:type="firstRow">
      <w:rPr>
        <w:rFonts w:ascii="Arial" w:hAnsi="Arial"/>
        <w:b/>
        <w:color w:val="664F82" w:themeColor="accent4" w:themeTint="9A" w:themeShade="95"/>
        <w:sz w:val="22"/>
      </w:rPr>
      <w:tcPr>
        <w:shd w:val="clear" w:fill="FFFFFF" w:color="FFFFFF" w:themeFill="light1"/>
        <w:tcBorders>
          <w:left w:val="none" w:color="000000" w:sz="4" w:space="0"/>
          <w:top w:val="none" w:color="000000" w:sz="4" w:space="0"/>
          <w:right w:val="none" w:color="000000" w:sz="4" w:space="0"/>
          <w:bottom w:val="single" w:color="000000" w:sz="4" w:space="0" w:themeColor="accent4" w:themeTint="9A"/>
        </w:tcBorders>
      </w:tcPr>
    </w:tblStylePr>
    <w:tblStylePr w:type="lastCol">
      <w:rPr>
        <w:rFonts w:ascii="Arial" w:hAnsi="Arial"/>
        <w:i/>
        <w:color w:val="664F82" w:themeColor="accent4" w:themeTint="9A" w:themeShade="95"/>
        <w:sz w:val="22"/>
      </w:rPr>
      <w:tcPr>
        <w:shd w:val="clear" w:fill="FFFFFF" w:color="FFFFFF"/>
        <w:tcBorders>
          <w:left w:val="single" w:color="000000" w:sz="4" w:space="0" w:themeColor="accent4" w:themeTint="9A"/>
          <w:top w:val="none" w:color="000000" w:sz="4" w:space="0"/>
          <w:right w:val="none" w:color="000000" w:sz="4" w:space="0"/>
          <w:bottom w:val="none" w:color="000000" w:sz="4" w:space="0"/>
        </w:tcBorders>
      </w:tcPr>
    </w:tblStylePr>
    <w:tblStylePr w:type="lastRow">
      <w:rPr>
        <w:rFonts w:ascii="Arial" w:hAnsi="Arial"/>
        <w:b/>
        <w:color w:val="664F82" w:themeColor="accent4" w:themeTint="9A" w:themeShade="95"/>
        <w:sz w:val="22"/>
      </w:rPr>
      <w:tcPr>
        <w:shd w:val="clear" w:fill="FFFFFF" w:color="FFFFFF" w:themeFill="light1"/>
        <w:tcBorders>
          <w:left w:val="none" w:color="000000" w:sz="4" w:space="0"/>
          <w:top w:val="single" w:color="000000" w:sz="4" w:space="0" w:themeColor="accent4" w:themeTint="9A"/>
          <w:right w:val="none" w:color="000000" w:sz="4" w:space="0"/>
          <w:bottom w:val="none" w:color="000000" w:sz="4" w:space="0"/>
        </w:tcBorders>
      </w:tcPr>
    </w:tblStylePr>
  </w:style>
  <w:style w:type="table" w:styleId="1029">
    <w:name w:val="Grid Table 7 Colorful - Accent 5"/>
    <w:uiPriority w:val="99"/>
    <w:pPr>
      <w:spacing w:lineRule="auto" w:line="240" w:after="0"/>
    </w:pPr>
    <w:tblPr>
      <w:tblStyleRowBandSize w:val="1"/>
      <w:tblStyleColBandSize w:val="1"/>
      <w:tblInd w:w="0" w:type="dxa"/>
      <w:tblBorders>
        <w:right w:val="single" w:color="000000" w:sz="4" w:space="0" w:themeColor="accent5" w:themeTint="90"/>
        <w:bottom w:val="single" w:color="000000" w:sz="4" w:space="0" w:themeColor="accent5" w:themeTint="90"/>
        <w:insideV w:val="single" w:color="000000" w:sz="4" w:space="0" w:themeColor="accent5" w:themeTint="90"/>
        <w:insideH w:val="single" w:color="000000" w:sz="4" w:space="0" w:themeColor="accent5" w:themeTint="90"/>
      </w:tblBorders>
    </w:tblPr>
    <w:tblStylePr w:type="band1Horz">
      <w:rPr>
        <w:rFonts w:ascii="Arial" w:hAnsi="Arial"/>
        <w:color w:val="266777" w:themeColor="accent5" w:themeShade="95"/>
        <w:sz w:val="22"/>
      </w:rPr>
      <w:tcPr>
        <w:shd w:val="clear" w:fill="FFFFFF" w:color="FFFFFF" w:themeFill="accent5" w:themeFillTint="34"/>
      </w:tcPr>
    </w:tblStylePr>
    <w:tblStylePr w:type="band1Vert">
      <w:tcPr>
        <w:shd w:val="clear" w:fill="FFFFFF" w:color="FFFFFF" w:themeFill="accent5" w:themeFillTint="34"/>
      </w:tcPr>
    </w:tblStylePr>
    <w:tblStylePr w:type="band2Horz">
      <w:rPr>
        <w:rFonts w:ascii="Arial" w:hAnsi="Arial"/>
        <w:color w:val="266777" w:themeColor="accent5" w:themeShade="95"/>
        <w:sz w:val="22"/>
      </w:rPr>
    </w:tblStylePr>
    <w:tblStylePr w:type="firstCol">
      <w:rPr>
        <w:rFonts w:ascii="Arial" w:hAnsi="Arial"/>
        <w:i/>
        <w:color w:val="266777" w:themeColor="accent5" w:themeShade="95"/>
        <w:sz w:val="22"/>
      </w:rPr>
      <w:pPr>
        <w:jc w:val="right"/>
      </w:pPr>
      <w:tcPr>
        <w:shd w:val="clear" w:fill="FFFFFF" w:color="FFFFFF"/>
        <w:tcBorders>
          <w:left w:val="none" w:color="000000" w:sz="4" w:space="0"/>
          <w:top w:val="none" w:color="000000" w:sz="4" w:space="0"/>
          <w:right w:val="single" w:color="000000" w:sz="4" w:space="0" w:themeColor="accent5" w:themeTint="90"/>
          <w:bottom w:val="none" w:color="000000" w:sz="4" w:space="0"/>
        </w:tcBorders>
      </w:tcPr>
    </w:tblStylePr>
    <w:tblStylePr w:type="firstRow">
      <w:rPr>
        <w:rFonts w:ascii="Arial" w:hAnsi="Arial"/>
        <w:b/>
        <w:color w:val="266777" w:themeColor="accent5" w:themeShade="95"/>
        <w:sz w:val="22"/>
      </w:rPr>
      <w:tcPr>
        <w:shd w:val="clear" w:fill="FFFFFF" w:color="FFFFFF" w:themeFill="light1"/>
        <w:tcBorders>
          <w:left w:val="none" w:color="000000" w:sz="4" w:space="0"/>
          <w:top w:val="none" w:color="000000" w:sz="4" w:space="0"/>
          <w:right w:val="none" w:color="000000" w:sz="4" w:space="0"/>
          <w:bottom w:val="single" w:color="000000" w:sz="4" w:space="0" w:themeColor="accent5" w:themeTint="90"/>
        </w:tcBorders>
      </w:tcPr>
    </w:tblStylePr>
    <w:tblStylePr w:type="lastCol">
      <w:rPr>
        <w:rFonts w:ascii="Arial" w:hAnsi="Arial"/>
        <w:i/>
        <w:color w:val="266777" w:themeColor="accent5" w:themeShade="95"/>
        <w:sz w:val="22"/>
      </w:rPr>
      <w:tcPr>
        <w:shd w:val="clear" w:fill="FFFFFF" w:color="FFFFFF"/>
        <w:tcBorders>
          <w:left w:val="single" w:color="000000" w:sz="4" w:space="0" w:themeColor="accent5" w:themeTint="90"/>
          <w:top w:val="none" w:color="000000" w:sz="4" w:space="0"/>
          <w:right w:val="none" w:color="000000" w:sz="4" w:space="0"/>
          <w:bottom w:val="none" w:color="000000" w:sz="4" w:space="0"/>
        </w:tcBorders>
      </w:tcPr>
    </w:tblStylePr>
    <w:tblStylePr w:type="lastRow">
      <w:rPr>
        <w:rFonts w:ascii="Arial" w:hAnsi="Arial"/>
        <w:b/>
        <w:color w:val="266777" w:themeColor="accent5" w:themeShade="95"/>
        <w:sz w:val="22"/>
      </w:rPr>
      <w:tcPr>
        <w:shd w:val="clear" w:fill="FFFFFF" w:color="FFFFFF" w:themeFill="light1"/>
        <w:tcBorders>
          <w:left w:val="none" w:color="000000" w:sz="4" w:space="0"/>
          <w:top w:val="single" w:color="000000" w:sz="4" w:space="0" w:themeColor="accent5" w:themeTint="90"/>
          <w:right w:val="none" w:color="000000" w:sz="4" w:space="0"/>
          <w:bottom w:val="none" w:color="000000" w:sz="4" w:space="0"/>
        </w:tcBorders>
      </w:tcPr>
    </w:tblStylePr>
  </w:style>
  <w:style w:type="table" w:styleId="1030">
    <w:name w:val="Grid Table 7 Colorful - Accent 6"/>
    <w:uiPriority w:val="99"/>
    <w:pPr>
      <w:spacing w:lineRule="auto" w:line="240" w:after="0"/>
    </w:pPr>
    <w:tblPr>
      <w:tblStyleRowBandSize w:val="1"/>
      <w:tblStyleColBandSize w:val="1"/>
      <w:tblInd w:w="0" w:type="dxa"/>
      <w:tblBorders>
        <w:right w:val="single" w:color="000000" w:sz="4" w:space="0" w:themeColor="accent6" w:themeTint="90"/>
        <w:bottom w:val="single" w:color="000000" w:sz="4" w:space="0" w:themeColor="accent6" w:themeTint="90"/>
        <w:insideV w:val="single" w:color="000000" w:sz="4" w:space="0" w:themeColor="accent6" w:themeTint="90"/>
        <w:insideH w:val="single" w:color="000000" w:sz="4" w:space="0" w:themeColor="accent6" w:themeTint="90"/>
      </w:tblBorders>
    </w:tblPr>
    <w:tblStylePr w:type="band1Horz">
      <w:rPr>
        <w:rFonts w:ascii="Arial" w:hAnsi="Arial"/>
        <w:color w:val="B05307" w:themeColor="accent6" w:themeShade="95"/>
        <w:sz w:val="22"/>
      </w:rPr>
      <w:tcPr>
        <w:shd w:val="clear" w:fill="FFFFFF" w:color="FFFFFF" w:themeFill="accent6" w:themeFillTint="34"/>
      </w:tcPr>
    </w:tblStylePr>
    <w:tblStylePr w:type="band1Vert">
      <w:tcPr>
        <w:shd w:val="clear" w:fill="FFFFFF" w:color="FFFFFF" w:themeFill="accent6" w:themeFillTint="34"/>
      </w:tcPr>
    </w:tblStylePr>
    <w:tblStylePr w:type="band2Horz">
      <w:rPr>
        <w:rFonts w:ascii="Arial" w:hAnsi="Arial"/>
        <w:color w:val="B05307" w:themeColor="accent6" w:themeShade="95"/>
        <w:sz w:val="22"/>
      </w:rPr>
    </w:tblStylePr>
    <w:tblStylePr w:type="firstCol">
      <w:rPr>
        <w:rFonts w:ascii="Arial" w:hAnsi="Arial"/>
        <w:i/>
        <w:color w:val="B05307" w:themeColor="accent6" w:themeShade="95"/>
        <w:sz w:val="22"/>
      </w:rPr>
      <w:pPr>
        <w:jc w:val="right"/>
      </w:pPr>
      <w:tcPr>
        <w:shd w:val="clear" w:fill="FFFFFF" w:color="FFFFFF"/>
        <w:tcBorders>
          <w:left w:val="none" w:color="000000" w:sz="4" w:space="0"/>
          <w:top w:val="none" w:color="000000" w:sz="4" w:space="0"/>
          <w:right w:val="single" w:color="000000" w:sz="4" w:space="0" w:themeColor="accent6" w:themeTint="90"/>
          <w:bottom w:val="none" w:color="000000" w:sz="4" w:space="0"/>
        </w:tcBorders>
      </w:tcPr>
    </w:tblStylePr>
    <w:tblStylePr w:type="firstRow">
      <w:rPr>
        <w:rFonts w:ascii="Arial" w:hAnsi="Arial"/>
        <w:b/>
        <w:color w:val="B05307" w:themeColor="accent6" w:themeShade="95"/>
        <w:sz w:val="22"/>
      </w:rPr>
      <w:tcPr>
        <w:shd w:val="clear" w:fill="FFFFFF" w:color="FFFFFF" w:themeFill="light1"/>
        <w:tcBorders>
          <w:left w:val="none" w:color="000000" w:sz="4" w:space="0"/>
          <w:top w:val="none" w:color="000000" w:sz="4" w:space="0"/>
          <w:right w:val="none" w:color="000000" w:sz="4" w:space="0"/>
          <w:bottom w:val="single" w:color="000000" w:sz="4" w:space="0" w:themeColor="accent6" w:themeTint="90"/>
        </w:tcBorders>
      </w:tcPr>
    </w:tblStylePr>
    <w:tblStylePr w:type="lastCol">
      <w:rPr>
        <w:rFonts w:ascii="Arial" w:hAnsi="Arial"/>
        <w:i/>
        <w:color w:val="B05307" w:themeColor="accent6" w:themeShade="95"/>
        <w:sz w:val="22"/>
      </w:rPr>
      <w:tcPr>
        <w:shd w:val="clear" w:fill="FFFFFF" w:color="FFFFFF"/>
        <w:tcBorders>
          <w:left w:val="single" w:color="000000" w:sz="4" w:space="0" w:themeColor="accent6" w:themeTint="90"/>
          <w:top w:val="none" w:color="000000" w:sz="4" w:space="0"/>
          <w:right w:val="none" w:color="000000" w:sz="4" w:space="0"/>
          <w:bottom w:val="none" w:color="000000" w:sz="4" w:space="0"/>
        </w:tcBorders>
      </w:tcPr>
    </w:tblStylePr>
    <w:tblStylePr w:type="lastRow">
      <w:rPr>
        <w:rFonts w:ascii="Arial" w:hAnsi="Arial"/>
        <w:b/>
        <w:color w:val="B05307" w:themeColor="accent6" w:themeShade="95"/>
        <w:sz w:val="22"/>
      </w:rPr>
      <w:tcPr>
        <w:shd w:val="clear" w:fill="FFFFFF" w:color="FFFFFF" w:themeFill="light1"/>
        <w:tcBorders>
          <w:left w:val="none" w:color="000000" w:sz="4" w:space="0"/>
          <w:top w:val="single" w:color="000000" w:sz="4" w:space="0" w:themeColor="accent6" w:themeTint="90"/>
          <w:right w:val="none" w:color="000000" w:sz="4" w:space="0"/>
          <w:bottom w:val="none" w:color="000000" w:sz="4" w:space="0"/>
        </w:tcBorders>
      </w:tcPr>
    </w:tblStylePr>
  </w:style>
  <w:style w:type="table" w:styleId="1031">
    <w:name w:val="List Table 1 Light"/>
    <w:uiPriority w:val="99"/>
    <w:pPr>
      <w:spacing w:lineRule="auto" w:line="240" w:after="0"/>
    </w:pPr>
    <w:tblPr>
      <w:tblStyleRowBandSize w:val="1"/>
      <w:tblStyleColBandSize w:val="1"/>
      <w:tblInd w:w="0" w:type="dxa"/>
    </w:tblPr>
    <w:tblStylePr w:type="band1Horz">
      <w:tcPr>
        <w:shd w:val="clear" w:fill="FFFFFF" w:color="FFFFFF" w:themeFill="text1" w:themeFillTint="40"/>
      </w:tcPr>
    </w:tblStylePr>
    <w:tblStylePr w:type="band1Vert">
      <w:tcPr>
        <w:shd w:val="clear" w:fill="FFFFFF" w:color="FFFFFF" w:themeFill="text1"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text1"/>
        </w:tcBorders>
      </w:tcPr>
    </w:tblStylePr>
    <w:tblStylePr w:type="lastCol">
      <w:rPr>
        <w:b/>
        <w:color w:val="404040"/>
      </w:rPr>
    </w:tblStylePr>
    <w:tblStylePr w:type="lastRow">
      <w:rPr>
        <w:b/>
        <w:color w:val="404040"/>
      </w:rPr>
      <w:tcPr>
        <w:tcBorders>
          <w:left w:val="none" w:color="000000" w:sz="4" w:space="0"/>
          <w:top w:val="single" w:color="000000" w:sz="4" w:space="0" w:themeColor="text1"/>
          <w:right w:val="none" w:color="000000" w:sz="4" w:space="0"/>
          <w:bottom w:val="none" w:color="000000" w:sz="4" w:space="0"/>
        </w:tcBorders>
      </w:tcPr>
    </w:tblStylePr>
  </w:style>
  <w:style w:type="table" w:styleId="1032">
    <w:name w:val="List Table 1 Light - Accent 1"/>
    <w:uiPriority w:val="99"/>
    <w:pPr>
      <w:spacing w:lineRule="auto" w:line="240" w:after="0"/>
    </w:pPr>
    <w:tblPr>
      <w:tblStyleRowBandSize w:val="1"/>
      <w:tblStyleColBandSize w:val="1"/>
      <w:tblInd w:w="0" w:type="dxa"/>
    </w:tblPr>
    <w:tblStylePr w:type="band1Horz">
      <w:tcPr>
        <w:shd w:val="clear" w:fill="FFFFFF" w:color="FFFFFF" w:themeFill="accent1" w:themeFillTint="40"/>
      </w:tcPr>
    </w:tblStylePr>
    <w:tblStylePr w:type="band1Vert">
      <w:tcPr>
        <w:shd w:val="clear" w:fill="FFFFFF" w:color="FFFFFF" w:themeFill="accent1"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1"/>
        </w:tcBorders>
      </w:tcPr>
    </w:tblStylePr>
    <w:tblStylePr w:type="lastCol">
      <w:rPr>
        <w:b/>
        <w:color w:val="404040"/>
      </w:rPr>
    </w:tblStylePr>
    <w:tblStylePr w:type="lastRow">
      <w:rPr>
        <w:b/>
        <w:color w:val="404040"/>
      </w:rPr>
      <w:tcPr>
        <w:tcBorders>
          <w:left w:val="none" w:color="000000" w:sz="4" w:space="0"/>
          <w:top w:val="single" w:color="000000" w:sz="4" w:space="0" w:themeColor="accent1"/>
          <w:right w:val="none" w:color="000000" w:sz="4" w:space="0"/>
          <w:bottom w:val="none" w:color="000000" w:sz="4" w:space="0"/>
        </w:tcBorders>
      </w:tcPr>
    </w:tblStylePr>
  </w:style>
  <w:style w:type="table" w:styleId="1033">
    <w:name w:val="List Table 1 Light - Accent 2"/>
    <w:uiPriority w:val="99"/>
    <w:pPr>
      <w:spacing w:lineRule="auto" w:line="240" w:after="0"/>
    </w:pPr>
    <w:tblPr>
      <w:tblStyleRowBandSize w:val="1"/>
      <w:tblStyleColBandSize w:val="1"/>
      <w:tblInd w:w="0" w:type="dxa"/>
    </w:tblPr>
    <w:tblStylePr w:type="band1Horz">
      <w:tcPr>
        <w:shd w:val="clear" w:fill="FFFFFF" w:color="FFFFFF" w:themeFill="accent2" w:themeFillTint="40"/>
      </w:tcPr>
    </w:tblStylePr>
    <w:tblStylePr w:type="band1Vert">
      <w:tcPr>
        <w:shd w:val="clear" w:fill="FFFFFF" w:color="FFFFFF" w:themeFill="accent2"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2"/>
        </w:tcBorders>
      </w:tcPr>
    </w:tblStylePr>
    <w:tblStylePr w:type="lastCol">
      <w:rPr>
        <w:b/>
        <w:color w:val="404040"/>
      </w:rPr>
    </w:tblStylePr>
    <w:tblStylePr w:type="lastRow">
      <w:rPr>
        <w:b/>
        <w:color w:val="404040"/>
      </w:rPr>
      <w:tcPr>
        <w:tcBorders>
          <w:left w:val="none" w:color="000000" w:sz="4" w:space="0"/>
          <w:top w:val="single" w:color="000000" w:sz="4" w:space="0" w:themeColor="accent2"/>
          <w:right w:val="none" w:color="000000" w:sz="4" w:space="0"/>
          <w:bottom w:val="none" w:color="000000" w:sz="4" w:space="0"/>
        </w:tcBorders>
      </w:tcPr>
    </w:tblStylePr>
  </w:style>
  <w:style w:type="table" w:styleId="1034">
    <w:name w:val="List Table 1 Light - Accent 3"/>
    <w:uiPriority w:val="99"/>
    <w:pPr>
      <w:spacing w:lineRule="auto" w:line="240" w:after="0"/>
    </w:pPr>
    <w:tblPr>
      <w:tblStyleRowBandSize w:val="1"/>
      <w:tblStyleColBandSize w:val="1"/>
      <w:tblInd w:w="0" w:type="dxa"/>
    </w:tblPr>
    <w:tblStylePr w:type="band1Horz">
      <w:tcPr>
        <w:shd w:val="clear" w:fill="FFFFFF" w:color="FFFFFF" w:themeFill="accent3" w:themeFillTint="40"/>
      </w:tcPr>
    </w:tblStylePr>
    <w:tblStylePr w:type="band1Vert">
      <w:tcPr>
        <w:shd w:val="clear" w:fill="FFFFFF" w:color="FFFFFF" w:themeFill="accent3"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3"/>
        </w:tcBorders>
      </w:tcPr>
    </w:tblStylePr>
    <w:tblStylePr w:type="lastCol">
      <w:rPr>
        <w:b/>
        <w:color w:val="404040"/>
      </w:rPr>
    </w:tblStylePr>
    <w:tblStylePr w:type="lastRow">
      <w:rPr>
        <w:b/>
        <w:color w:val="404040"/>
      </w:rPr>
      <w:tcPr>
        <w:tcBorders>
          <w:left w:val="none" w:color="000000" w:sz="4" w:space="0"/>
          <w:top w:val="single" w:color="000000" w:sz="4" w:space="0" w:themeColor="accent3"/>
          <w:right w:val="none" w:color="000000" w:sz="4" w:space="0"/>
          <w:bottom w:val="none" w:color="000000" w:sz="4" w:space="0"/>
        </w:tcBorders>
      </w:tcPr>
    </w:tblStylePr>
  </w:style>
  <w:style w:type="table" w:styleId="1035">
    <w:name w:val="List Table 1 Light - Accent 4"/>
    <w:uiPriority w:val="99"/>
    <w:pPr>
      <w:spacing w:lineRule="auto" w:line="240" w:after="0"/>
    </w:pPr>
    <w:tblPr>
      <w:tblStyleRowBandSize w:val="1"/>
      <w:tblStyleColBandSize w:val="1"/>
      <w:tblInd w:w="0" w:type="dxa"/>
    </w:tblPr>
    <w:tblStylePr w:type="band1Horz">
      <w:tcPr>
        <w:shd w:val="clear" w:fill="FFFFFF" w:color="FFFFFF" w:themeFill="accent4" w:themeFillTint="40"/>
      </w:tcPr>
    </w:tblStylePr>
    <w:tblStylePr w:type="band1Vert">
      <w:tcPr>
        <w:shd w:val="clear" w:fill="FFFFFF" w:color="FFFFFF" w:themeFill="accent4"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4"/>
        </w:tcBorders>
      </w:tcPr>
    </w:tblStylePr>
    <w:tblStylePr w:type="lastCol">
      <w:rPr>
        <w:b/>
        <w:color w:val="404040"/>
      </w:rPr>
    </w:tblStylePr>
    <w:tblStylePr w:type="lastRow">
      <w:rPr>
        <w:b/>
        <w:color w:val="404040"/>
      </w:rPr>
      <w:tcPr>
        <w:tcBorders>
          <w:left w:val="none" w:color="000000" w:sz="4" w:space="0"/>
          <w:top w:val="single" w:color="000000" w:sz="4" w:space="0" w:themeColor="accent4"/>
          <w:right w:val="none" w:color="000000" w:sz="4" w:space="0"/>
          <w:bottom w:val="none" w:color="000000" w:sz="4" w:space="0"/>
        </w:tcBorders>
      </w:tcPr>
    </w:tblStylePr>
  </w:style>
  <w:style w:type="table" w:styleId="1036">
    <w:name w:val="List Table 1 Light - Accent 5"/>
    <w:uiPriority w:val="99"/>
    <w:pPr>
      <w:spacing w:lineRule="auto" w:line="240" w:after="0"/>
    </w:pPr>
    <w:tblPr>
      <w:tblStyleRowBandSize w:val="1"/>
      <w:tblStyleColBandSize w:val="1"/>
      <w:tblInd w:w="0" w:type="dxa"/>
    </w:tblPr>
    <w:tblStylePr w:type="band1Horz">
      <w:tcPr>
        <w:shd w:val="clear" w:fill="FFFFFF" w:color="FFFFFF" w:themeFill="accent5" w:themeFillTint="40"/>
      </w:tcPr>
    </w:tblStylePr>
    <w:tblStylePr w:type="band1Vert">
      <w:tcPr>
        <w:shd w:val="clear" w:fill="FFFFFF" w:color="FFFFFF" w:themeFill="accent5"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5"/>
        </w:tcBorders>
      </w:tcPr>
    </w:tblStylePr>
    <w:tblStylePr w:type="lastCol">
      <w:rPr>
        <w:b/>
        <w:color w:val="404040"/>
      </w:rPr>
    </w:tblStylePr>
    <w:tblStylePr w:type="lastRow">
      <w:rPr>
        <w:b/>
        <w:color w:val="404040"/>
      </w:rPr>
      <w:tcPr>
        <w:tcBorders>
          <w:left w:val="none" w:color="000000" w:sz="4" w:space="0"/>
          <w:top w:val="single" w:color="000000" w:sz="4" w:space="0" w:themeColor="accent5"/>
          <w:right w:val="none" w:color="000000" w:sz="4" w:space="0"/>
          <w:bottom w:val="none" w:color="000000" w:sz="4" w:space="0"/>
        </w:tcBorders>
      </w:tcPr>
    </w:tblStylePr>
  </w:style>
  <w:style w:type="table" w:styleId="1037">
    <w:name w:val="List Table 1 Light - Accent 6"/>
    <w:uiPriority w:val="99"/>
    <w:pPr>
      <w:spacing w:lineRule="auto" w:line="240" w:after="0"/>
    </w:pPr>
    <w:tblPr>
      <w:tblStyleRowBandSize w:val="1"/>
      <w:tblStyleColBandSize w:val="1"/>
      <w:tblInd w:w="0" w:type="dxa"/>
    </w:tblPr>
    <w:tblStylePr w:type="band1Horz">
      <w:tcPr>
        <w:shd w:val="clear" w:fill="FFFFFF" w:color="FFFFFF" w:themeFill="accent6" w:themeFillTint="40"/>
      </w:tcPr>
    </w:tblStylePr>
    <w:tblStylePr w:type="band1Vert">
      <w:tcPr>
        <w:shd w:val="clear" w:fill="FFFFFF" w:color="FFFFFF" w:themeFill="accent6"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6"/>
        </w:tcBorders>
      </w:tcPr>
    </w:tblStylePr>
    <w:tblStylePr w:type="lastCol">
      <w:rPr>
        <w:b/>
        <w:color w:val="404040"/>
      </w:rPr>
    </w:tblStylePr>
    <w:tblStylePr w:type="lastRow">
      <w:rPr>
        <w:b/>
        <w:color w:val="404040"/>
      </w:rPr>
      <w:tcPr>
        <w:tcBorders>
          <w:left w:val="none" w:color="000000" w:sz="4" w:space="0"/>
          <w:top w:val="single" w:color="000000" w:sz="4" w:space="0" w:themeColor="accent6"/>
          <w:right w:val="none" w:color="000000" w:sz="4" w:space="0"/>
          <w:bottom w:val="none" w:color="000000" w:sz="4" w:space="0"/>
        </w:tcBorders>
      </w:tcPr>
    </w:tblStylePr>
  </w:style>
  <w:style w:type="table" w:styleId="1038">
    <w:name w:val="List Table 2"/>
    <w:uiPriority w:val="99"/>
    <w:pPr>
      <w:spacing w:lineRule="auto" w:line="240" w:after="0"/>
    </w:pPr>
    <w:tblPr>
      <w:tblStyleRowBandSize w:val="1"/>
      <w:tblStyleColBandSize w:val="1"/>
      <w:tblInd w:w="0" w:type="dxa"/>
      <w:tblBorders>
        <w:top w:val="single" w:color="000000" w:sz="4" w:space="0" w:themeColor="text1" w:themeTint="90"/>
        <w:bottom w:val="single" w:color="000000" w:sz="4" w:space="0" w:themeColor="text1" w:themeTint="90"/>
        <w:insideH w:val="single" w:color="000000" w:sz="4" w:space="0" w:themeColor="text1" w:themeTint="90"/>
      </w:tblBorders>
    </w:tblPr>
    <w:tblStylePr w:type="band1Horz">
      <w:rPr>
        <w:rFonts w:ascii="Arial" w:hAnsi="Arial"/>
        <w:color w:val="404040"/>
        <w:sz w:val="22"/>
      </w:rPr>
      <w:tcPr>
        <w:shd w:val="clear" w:fill="FFFFFF" w:color="FFFFFF" w:themeFill="text1" w:themeFillTint="40"/>
      </w:tcPr>
    </w:tblStylePr>
    <w:tblStylePr w:type="band1Vert">
      <w:rPr>
        <w:rFonts w:ascii="Arial" w:hAnsi="Arial"/>
        <w:color w:val="404040"/>
        <w:sz w:val="22"/>
      </w:rPr>
      <w:tcPr>
        <w:shd w:val="clear" w:fill="FFFFFF" w:color="FFFFF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text1" w:themeTint="90"/>
          <w:right w:val="none" w:color="000000" w:sz="4" w:space="0"/>
          <w:bottom w:val="single" w:color="000000" w:sz="4" w:space="0" w:themeColor="text1"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text1" w:themeTint="90"/>
          <w:right w:val="none" w:color="000000" w:sz="4" w:space="0"/>
          <w:bottom w:val="single" w:color="000000" w:sz="4" w:space="0" w:themeColor="text1" w:themeTint="90"/>
        </w:tcBorders>
      </w:tcPr>
    </w:tblStylePr>
  </w:style>
  <w:style w:type="table" w:styleId="1039">
    <w:name w:val="List Table 2 - Accent 1"/>
    <w:uiPriority w:val="99"/>
    <w:pPr>
      <w:spacing w:lineRule="auto" w:line="240" w:after="0"/>
    </w:pPr>
    <w:tblPr>
      <w:tblStyleRowBandSize w:val="1"/>
      <w:tblStyleColBandSize w:val="1"/>
      <w:tblInd w:w="0" w:type="dxa"/>
      <w:tblBorders>
        <w:top w:val="single" w:color="000000" w:sz="4" w:space="0" w:themeColor="accent1" w:themeTint="90"/>
        <w:bottom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fill="FFFFFF" w:color="FFFFFF" w:themeFill="accent1" w:themeFillTint="40"/>
      </w:tcPr>
    </w:tblStylePr>
    <w:tblStylePr w:type="band1Vert">
      <w:rPr>
        <w:rFonts w:ascii="Arial" w:hAnsi="Arial"/>
        <w:color w:val="404040"/>
        <w:sz w:val="22"/>
      </w:rPr>
      <w:tcPr>
        <w:shd w:val="clear" w:fill="FFFFFF" w:color="FFFFFF"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1" w:themeTint="90"/>
          <w:right w:val="none" w:color="000000" w:sz="4" w:space="0"/>
          <w:bottom w:val="single" w:color="000000" w:sz="4" w:space="0" w:themeColor="accent1"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1" w:themeTint="90"/>
          <w:right w:val="none" w:color="000000" w:sz="4" w:space="0"/>
          <w:bottom w:val="single" w:color="000000" w:sz="4" w:space="0" w:themeColor="accent1" w:themeTint="90"/>
        </w:tcBorders>
      </w:tcPr>
    </w:tblStylePr>
  </w:style>
  <w:style w:type="table" w:styleId="1040">
    <w:name w:val="List Table 2 - Accent 2"/>
    <w:uiPriority w:val="99"/>
    <w:pPr>
      <w:spacing w:lineRule="auto" w:line="240" w:after="0"/>
    </w:pPr>
    <w:tblPr>
      <w:tblStyleRowBandSize w:val="1"/>
      <w:tblStyleColBandSize w:val="1"/>
      <w:tblInd w:w="0" w:type="dxa"/>
      <w:tblBorders>
        <w:top w:val="single" w:color="000000" w:sz="4" w:space="0" w:themeColor="accent2" w:themeTint="90"/>
        <w:bottom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fill="FFFFFF" w:color="FFFFFF" w:themeFill="accent2" w:themeFillTint="40"/>
      </w:tcPr>
    </w:tblStylePr>
    <w:tblStylePr w:type="band1Vert">
      <w:rPr>
        <w:rFonts w:ascii="Arial" w:hAnsi="Arial"/>
        <w:color w:val="404040"/>
        <w:sz w:val="22"/>
      </w:rPr>
      <w:tcPr>
        <w:shd w:val="clear" w:fill="FFFFFF" w:color="FFFFFF"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2" w:themeTint="90"/>
          <w:right w:val="none" w:color="000000" w:sz="4" w:space="0"/>
          <w:bottom w:val="single" w:color="000000" w:sz="4" w:space="0" w:themeColor="accent2"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2" w:themeTint="90"/>
          <w:right w:val="none" w:color="000000" w:sz="4" w:space="0"/>
          <w:bottom w:val="single" w:color="000000" w:sz="4" w:space="0" w:themeColor="accent2" w:themeTint="90"/>
        </w:tcBorders>
      </w:tcPr>
    </w:tblStylePr>
  </w:style>
  <w:style w:type="table" w:styleId="1041">
    <w:name w:val="List Table 2 - Accent 3"/>
    <w:uiPriority w:val="99"/>
    <w:pPr>
      <w:spacing w:lineRule="auto" w:line="240" w:after="0"/>
    </w:pPr>
    <w:tblPr>
      <w:tblStyleRowBandSize w:val="1"/>
      <w:tblStyleColBandSize w:val="1"/>
      <w:tblInd w:w="0" w:type="dxa"/>
      <w:tblBorders>
        <w:top w:val="single" w:color="000000" w:sz="4" w:space="0" w:themeColor="accent3" w:themeTint="90"/>
        <w:bottom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fill="FFFFFF" w:color="FFFFFF" w:themeFill="accent3" w:themeFillTint="40"/>
      </w:tcPr>
    </w:tblStylePr>
    <w:tblStylePr w:type="band1Vert">
      <w:rPr>
        <w:rFonts w:ascii="Arial" w:hAnsi="Arial"/>
        <w:color w:val="404040"/>
        <w:sz w:val="22"/>
      </w:rPr>
      <w:tcPr>
        <w:shd w:val="clear" w:fill="FFFFFF" w:color="FFFFFF"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3" w:themeTint="90"/>
          <w:right w:val="none" w:color="000000" w:sz="4" w:space="0"/>
          <w:bottom w:val="single" w:color="000000" w:sz="4" w:space="0" w:themeColor="accent3"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3" w:themeTint="90"/>
          <w:right w:val="none" w:color="000000" w:sz="4" w:space="0"/>
          <w:bottom w:val="single" w:color="000000" w:sz="4" w:space="0" w:themeColor="accent3" w:themeTint="90"/>
        </w:tcBorders>
      </w:tcPr>
    </w:tblStylePr>
  </w:style>
  <w:style w:type="table" w:styleId="1042">
    <w:name w:val="List Table 2 - Accent 4"/>
    <w:uiPriority w:val="99"/>
    <w:pPr>
      <w:spacing w:lineRule="auto" w:line="240" w:after="0"/>
    </w:pPr>
    <w:tblPr>
      <w:tblStyleRowBandSize w:val="1"/>
      <w:tblStyleColBandSize w:val="1"/>
      <w:tblInd w:w="0" w:type="dxa"/>
      <w:tblBorders>
        <w:top w:val="single" w:color="000000" w:sz="4" w:space="0" w:themeColor="accent4" w:themeTint="90"/>
        <w:bottom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fill="FFFFFF" w:color="FFFFFF" w:themeFill="accent4" w:themeFillTint="40"/>
      </w:tcPr>
    </w:tblStylePr>
    <w:tblStylePr w:type="band1Vert">
      <w:rPr>
        <w:rFonts w:ascii="Arial" w:hAnsi="Arial"/>
        <w:color w:val="404040"/>
        <w:sz w:val="22"/>
      </w:rPr>
      <w:tcPr>
        <w:shd w:val="clear" w:fill="FFFFFF" w:color="FFFFF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4" w:themeTint="90"/>
          <w:right w:val="none" w:color="000000" w:sz="4" w:space="0"/>
          <w:bottom w:val="single" w:color="000000" w:sz="4" w:space="0" w:themeColor="accent4"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4" w:themeTint="90"/>
          <w:right w:val="none" w:color="000000" w:sz="4" w:space="0"/>
          <w:bottom w:val="single" w:color="000000" w:sz="4" w:space="0" w:themeColor="accent4" w:themeTint="90"/>
        </w:tcBorders>
      </w:tcPr>
    </w:tblStylePr>
  </w:style>
  <w:style w:type="table" w:styleId="1043">
    <w:name w:val="List Table 2 - Accent 5"/>
    <w:uiPriority w:val="99"/>
    <w:pPr>
      <w:spacing w:lineRule="auto" w:line="240" w:after="0"/>
    </w:pPr>
    <w:tblPr>
      <w:tblStyleRowBandSize w:val="1"/>
      <w:tblStyleColBandSize w:val="1"/>
      <w:tblInd w:w="0" w:type="dxa"/>
      <w:tblBorders>
        <w:top w:val="single" w:color="000000" w:sz="4" w:space="0" w:themeColor="accent5" w:themeTint="90"/>
        <w:bottom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fill="FFFFFF" w:color="FFFFFF" w:themeFill="accent5" w:themeFillTint="40"/>
      </w:tcPr>
    </w:tblStylePr>
    <w:tblStylePr w:type="band1Vert">
      <w:rPr>
        <w:rFonts w:ascii="Arial" w:hAnsi="Arial"/>
        <w:color w:val="404040"/>
        <w:sz w:val="22"/>
      </w:rPr>
      <w:tcPr>
        <w:shd w:val="clear" w:fill="FFFFFF" w:color="FFFFFF"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5" w:themeTint="90"/>
          <w:right w:val="none" w:color="000000" w:sz="4" w:space="0"/>
          <w:bottom w:val="single" w:color="000000" w:sz="4" w:space="0" w:themeColor="accent5"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5" w:themeTint="90"/>
          <w:right w:val="none" w:color="000000" w:sz="4" w:space="0"/>
          <w:bottom w:val="single" w:color="000000" w:sz="4" w:space="0" w:themeColor="accent5" w:themeTint="90"/>
        </w:tcBorders>
      </w:tcPr>
    </w:tblStylePr>
  </w:style>
  <w:style w:type="table" w:styleId="1044">
    <w:name w:val="List Table 2 - Accent 6"/>
    <w:uiPriority w:val="99"/>
    <w:pPr>
      <w:spacing w:lineRule="auto" w:line="240" w:after="0"/>
    </w:pPr>
    <w:tblPr>
      <w:tblStyleRowBandSize w:val="1"/>
      <w:tblStyleColBandSize w:val="1"/>
      <w:tblInd w:w="0" w:type="dxa"/>
      <w:tblBorders>
        <w:top w:val="single" w:color="000000" w:sz="4" w:space="0" w:themeColor="accent6" w:themeTint="90"/>
        <w:bottom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fill="FFFFFF" w:color="FFFFFF" w:themeFill="accent6" w:themeFillTint="40"/>
      </w:tcPr>
    </w:tblStylePr>
    <w:tblStylePr w:type="band1Vert">
      <w:rPr>
        <w:rFonts w:ascii="Arial" w:hAnsi="Arial"/>
        <w:color w:val="404040"/>
        <w:sz w:val="22"/>
      </w:rPr>
      <w:tcPr>
        <w:shd w:val="clear" w:fill="FFFFFF" w:color="FFFFFF"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6" w:themeTint="90"/>
          <w:right w:val="none" w:color="000000" w:sz="4" w:space="0"/>
          <w:bottom w:val="single" w:color="000000" w:sz="4" w:space="0" w:themeColor="accent6"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6" w:themeTint="90"/>
          <w:right w:val="none" w:color="000000" w:sz="4" w:space="0"/>
          <w:bottom w:val="single" w:color="000000" w:sz="4" w:space="0" w:themeColor="accent6" w:themeTint="90"/>
        </w:tcBorders>
      </w:tcPr>
    </w:tblStylePr>
  </w:style>
  <w:style w:type="table" w:styleId="1045">
    <w:name w:val="List Table 3"/>
    <w:uiPriority w:val="99"/>
    <w:pPr>
      <w:spacing w:lineRule="auto" w:line="240" w:after="0"/>
    </w:pPr>
    <w:tblPr>
      <w:tblStyleRowBandSize w:val="1"/>
      <w:tblStyleColBandSize w:val="1"/>
      <w:tblInd w:w="0" w:type="dxa"/>
      <w:tblBorders>
        <w:left w:val="single" w:color="000000" w:sz="4" w:space="0" w:themeColor="text1"/>
        <w:top w:val="single" w:color="000000" w:sz="4" w:space="0" w:themeColor="text1"/>
        <w:right w:val="single" w:color="000000" w:sz="4" w:space="0" w:themeColor="text1"/>
        <w:bottom w:val="single" w:color="000000" w:sz="4" w:space="0" w:themeColor="text1"/>
      </w:tblBorders>
    </w:tblPr>
    <w:tblStylePr w:type="band1Horz">
      <w:rPr>
        <w:rFonts w:ascii="Arial" w:hAnsi="Arial"/>
        <w:color w:val="404040"/>
        <w:sz w:val="22"/>
      </w:rPr>
      <w:tcPr>
        <w:tcBorders>
          <w:top w:val="single" w:color="000000" w:sz="4" w:space="0" w:themeColor="text1"/>
          <w:bottom w:val="single" w:color="000000" w:sz="4" w:space="0" w:themeColor="text1"/>
        </w:tcBorders>
      </w:tcPr>
    </w:tblStylePr>
    <w:tblStylePr w:type="band1Vert">
      <w:rPr>
        <w:rFonts w:ascii="Arial" w:hAnsi="Arial"/>
        <w:color w:val="404040"/>
        <w:sz w:val="22"/>
      </w:rPr>
      <w:tcPr>
        <w:tcBorders>
          <w:left w:val="single" w:color="000000" w:sz="4" w:space="0" w:themeColor="text1"/>
          <w:right w:val="single" w:color="000000" w:sz="4" w:space="0" w:themeColor="text1"/>
        </w:tcBorders>
      </w:tcPr>
    </w:tblStylePr>
    <w:tblStylePr w:type="firstCol">
      <w:rPr>
        <w:b/>
        <w:color w:val="404040"/>
      </w:rPr>
    </w:tblStylePr>
    <w:tblStylePr w:type="firstRow">
      <w:rPr>
        <w:rFonts w:ascii="Arial" w:hAnsi="Arial"/>
        <w:b/>
        <w:color w:val="FFFFFF"/>
        <w:sz w:val="22"/>
      </w:rPr>
      <w:tcPr>
        <w:shd w:val="clear" w:fill="FFFFFF" w:color="FFFFFF" w:themeFill="text1"/>
      </w:tcPr>
    </w:tblStylePr>
    <w:tblStylePr w:type="lastCol">
      <w:rPr>
        <w:b/>
        <w:color w:val="404040"/>
      </w:rPr>
    </w:tblStylePr>
    <w:tblStylePr w:type="lastRow">
      <w:rPr>
        <w:b/>
        <w:color w:val="404040"/>
      </w:rPr>
    </w:tblStylePr>
  </w:style>
  <w:style w:type="table" w:styleId="1046">
    <w:name w:val="List Table 3 - Accent 1"/>
    <w:uiPriority w:val="99"/>
    <w:pPr>
      <w:spacing w:lineRule="auto" w:line="240" w:after="0"/>
    </w:pPr>
    <w:tblPr>
      <w:tblStyleRowBandSize w:val="1"/>
      <w:tblStyleColBandSize w:val="1"/>
      <w:tblInd w:w="0" w:type="dxa"/>
      <w:tblBorders>
        <w:left w:val="single" w:color="000000" w:sz="4" w:space="0" w:themeColor="accent1"/>
        <w:top w:val="single" w:color="000000" w:sz="4" w:space="0" w:themeColor="accent1"/>
        <w:right w:val="single" w:color="000000" w:sz="4" w:space="0" w:themeColor="accent1"/>
        <w:bottom w:val="single" w:color="000000" w:sz="4" w:space="0" w:themeColor="accent1"/>
      </w:tblBorders>
    </w:tblPr>
    <w:tblStylePr w:type="band1Horz">
      <w:rPr>
        <w:rFonts w:ascii="Arial" w:hAnsi="Arial"/>
        <w:color w:val="404040"/>
        <w:sz w:val="22"/>
      </w:rPr>
      <w:tcPr>
        <w:tcBorders>
          <w:top w:val="single" w:color="000000" w:sz="4" w:space="0" w:themeColor="accent1"/>
          <w:bottom w:val="single" w:color="000000" w:sz="4" w:space="0" w:themeColor="accent1"/>
        </w:tcBorders>
      </w:tcPr>
    </w:tblStylePr>
    <w:tblStylePr w:type="band1Vert">
      <w:rPr>
        <w:rFonts w:ascii="Arial" w:hAnsi="Arial"/>
        <w:color w:val="404040"/>
        <w:sz w:val="22"/>
      </w:rPr>
      <w:tcPr>
        <w:tcBorders>
          <w:left w:val="single" w:color="000000" w:sz="4" w:space="0" w:themeColor="accent1"/>
          <w:right w:val="single" w:color="000000" w:sz="4" w:space="0" w:themeColor="accent1"/>
        </w:tcBorders>
      </w:tcPr>
    </w:tblStylePr>
    <w:tblStylePr w:type="firstCol">
      <w:rPr>
        <w:b/>
        <w:color w:val="404040"/>
      </w:rPr>
    </w:tblStylePr>
    <w:tblStylePr w:type="firstRow">
      <w:rPr>
        <w:rFonts w:ascii="Arial" w:hAnsi="Arial"/>
        <w:b/>
        <w:color w:val="FFFFFF"/>
        <w:sz w:val="22"/>
      </w:rPr>
      <w:tcPr>
        <w:shd w:val="clear" w:fill="FFFFFF" w:color="FFFFFF" w:themeFill="accent1"/>
      </w:tcPr>
    </w:tblStylePr>
    <w:tblStylePr w:type="lastCol">
      <w:rPr>
        <w:b/>
        <w:color w:val="404040"/>
      </w:rPr>
    </w:tblStylePr>
    <w:tblStylePr w:type="lastRow">
      <w:rPr>
        <w:b/>
        <w:color w:val="404040"/>
      </w:rPr>
    </w:tblStylePr>
  </w:style>
  <w:style w:type="table" w:styleId="1047">
    <w:name w:val="List Table 3 - Accent 2"/>
    <w:uiPriority w:val="99"/>
    <w:pPr>
      <w:spacing w:lineRule="auto" w:line="240" w:after="0"/>
    </w:pPr>
    <w:tblPr>
      <w:tblStyleRowBandSize w:val="1"/>
      <w:tblStyleColBandSize w:val="1"/>
      <w:tblInd w:w="0" w:type="dxa"/>
      <w:tbl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tblBorders>
    </w:tblPr>
    <w:tblStylePr w:type="band1Horz">
      <w:rPr>
        <w:rFonts w:ascii="Arial" w:hAnsi="Arial"/>
        <w:color w:val="404040"/>
        <w:sz w:val="22"/>
      </w:rPr>
      <w:tcPr>
        <w:tcBorders>
          <w:top w:val="single" w:color="000000" w:sz="4" w:space="0" w:themeColor="accent2" w:themeTint="97"/>
          <w:bottom w:val="single" w:color="000000" w:sz="4" w:space="0" w:themeColor="accent2" w:themeTint="97"/>
        </w:tcBorders>
      </w:tcPr>
    </w:tblStylePr>
    <w:tblStylePr w:type="band1Vert">
      <w:rPr>
        <w:rFonts w:ascii="Arial" w:hAnsi="Arial"/>
        <w:color w:val="404040"/>
        <w:sz w:val="22"/>
      </w:rPr>
      <w:tcPr>
        <w:tcBorders>
          <w:left w:val="single" w:color="000000" w:sz="4" w:space="0" w:themeColor="accent2" w:themeTint="97"/>
          <w:right w:val="single" w:color="000000" w:sz="4" w:space="0" w:themeColor="accent2" w:themeTint="97"/>
        </w:tcBorders>
      </w:tcPr>
    </w:tblStylePr>
    <w:tblStylePr w:type="firstCol">
      <w:rPr>
        <w:b/>
        <w:color w:val="404040"/>
      </w:rPr>
    </w:tblStylePr>
    <w:tblStylePr w:type="firstRow">
      <w:rPr>
        <w:rFonts w:ascii="Arial" w:hAnsi="Arial"/>
        <w:b/>
        <w:color w:val="FFFFFF"/>
        <w:sz w:val="22"/>
      </w:rPr>
      <w:tcPr>
        <w:shd w:val="clear" w:fill="FFFFFF" w:color="FFFFFF" w:themeFill="accent2" w:themeFillTint="97"/>
      </w:tcPr>
    </w:tblStylePr>
    <w:tblStylePr w:type="lastCol">
      <w:rPr>
        <w:b/>
        <w:color w:val="404040"/>
      </w:rPr>
    </w:tblStylePr>
    <w:tblStylePr w:type="lastRow">
      <w:rPr>
        <w:b/>
        <w:color w:val="404040"/>
      </w:rPr>
    </w:tblStylePr>
  </w:style>
  <w:style w:type="table" w:styleId="1048">
    <w:name w:val="List Table 3 - Accent 3"/>
    <w:uiPriority w:val="99"/>
    <w:pPr>
      <w:spacing w:lineRule="auto" w:line="240" w:after="0"/>
    </w:pPr>
    <w:tblPr>
      <w:tblStyleRowBandSize w:val="1"/>
      <w:tblStyleColBandSize w:val="1"/>
      <w:tblInd w:w="0" w:type="dxa"/>
      <w:tblBorders>
        <w:left w:val="single" w:color="000000" w:sz="4" w:space="0" w:themeColor="accent3" w:themeTint="98"/>
        <w:top w:val="single" w:color="000000" w:sz="4" w:space="0" w:themeColor="accent3" w:themeTint="98"/>
        <w:right w:val="single" w:color="000000" w:sz="4" w:space="0" w:themeColor="accent3" w:themeTint="98"/>
        <w:bottom w:val="single" w:color="000000" w:sz="4" w:space="0" w:themeColor="accent3" w:themeTint="98"/>
      </w:tblBorders>
    </w:tblPr>
    <w:tblStylePr w:type="band1Horz">
      <w:rPr>
        <w:rFonts w:ascii="Arial" w:hAnsi="Arial"/>
        <w:color w:val="404040"/>
        <w:sz w:val="22"/>
      </w:rPr>
      <w:tcPr>
        <w:tcBorders>
          <w:top w:val="single" w:color="000000" w:sz="4" w:space="0" w:themeColor="accent3" w:themeTint="98"/>
          <w:bottom w:val="single" w:color="000000" w:sz="4" w:space="0" w:themeColor="accent3" w:themeTint="98"/>
        </w:tcBorders>
      </w:tcPr>
    </w:tblStylePr>
    <w:tblStylePr w:type="band1Vert">
      <w:rPr>
        <w:rFonts w:ascii="Arial" w:hAnsi="Arial"/>
        <w:color w:val="404040"/>
        <w:sz w:val="22"/>
      </w:rPr>
      <w:tcPr>
        <w:tcBorders>
          <w:left w:val="single" w:color="000000" w:sz="4" w:space="0" w:themeColor="accent3" w:themeTint="98"/>
          <w:right w:val="single" w:color="000000" w:sz="4" w:space="0" w:themeColor="accent3" w:themeTint="98"/>
        </w:tcBorders>
      </w:tcPr>
    </w:tblStylePr>
    <w:tblStylePr w:type="firstCol">
      <w:rPr>
        <w:b/>
        <w:color w:val="404040"/>
      </w:rPr>
    </w:tblStylePr>
    <w:tblStylePr w:type="firstRow">
      <w:rPr>
        <w:rFonts w:ascii="Arial" w:hAnsi="Arial"/>
        <w:b/>
        <w:color w:val="FFFFFF"/>
        <w:sz w:val="22"/>
      </w:rPr>
      <w:tcPr>
        <w:shd w:val="clear" w:fill="FFFFFF" w:color="FFFFFF" w:themeFill="accent3" w:themeFillTint="98"/>
      </w:tcPr>
    </w:tblStylePr>
    <w:tblStylePr w:type="lastCol">
      <w:rPr>
        <w:b/>
        <w:color w:val="404040"/>
      </w:rPr>
    </w:tblStylePr>
    <w:tblStylePr w:type="lastRow">
      <w:rPr>
        <w:b/>
        <w:color w:val="404040"/>
      </w:rPr>
    </w:tblStylePr>
  </w:style>
  <w:style w:type="table" w:styleId="1049">
    <w:name w:val="List Table 3 - Accent 4"/>
    <w:uiPriority w:val="99"/>
    <w:pPr>
      <w:spacing w:lineRule="auto" w:line="240" w:after="0"/>
    </w:pPr>
    <w:tblPr>
      <w:tblStyleRowBandSize w:val="1"/>
      <w:tblStyleColBandSize w:val="1"/>
      <w:tblInd w:w="0" w:type="dxa"/>
      <w:tbl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tblBorders>
    </w:tblPr>
    <w:tblStylePr w:type="band1Horz">
      <w:rPr>
        <w:rFonts w:ascii="Arial" w:hAnsi="Arial"/>
        <w:color w:val="404040"/>
        <w:sz w:val="22"/>
      </w:rPr>
      <w:tcPr>
        <w:tcBorders>
          <w:top w:val="single" w:color="000000" w:sz="4" w:space="0" w:themeColor="accent4" w:themeTint="9A"/>
          <w:bottom w:val="single" w:color="000000" w:sz="4" w:space="0" w:themeColor="accent4" w:themeTint="9A"/>
        </w:tcBorders>
      </w:tcPr>
    </w:tblStylePr>
    <w:tblStylePr w:type="band1Vert">
      <w:rPr>
        <w:rFonts w:ascii="Arial" w:hAnsi="Arial"/>
        <w:color w:val="404040"/>
        <w:sz w:val="22"/>
      </w:rPr>
      <w:tcPr>
        <w:tcBorders>
          <w:left w:val="single" w:color="000000" w:sz="4" w:space="0" w:themeColor="accent4" w:themeTint="9A"/>
          <w:right w:val="single" w:color="000000" w:sz="4" w:space="0" w:themeColor="accent4" w:themeTint="9A"/>
        </w:tcBorders>
      </w:tcPr>
    </w:tblStylePr>
    <w:tblStylePr w:type="firstCol">
      <w:rPr>
        <w:b/>
        <w:color w:val="404040"/>
      </w:rPr>
    </w:tblStylePr>
    <w:tblStylePr w:type="firstRow">
      <w:rPr>
        <w:rFonts w:ascii="Arial" w:hAnsi="Arial"/>
        <w:b/>
        <w:color w:val="FFFFFF"/>
        <w:sz w:val="22"/>
      </w:rPr>
      <w:tcPr>
        <w:shd w:val="clear" w:fill="FFFFFF" w:color="FFFFFF" w:themeFill="accent4" w:themeFillTint="9A"/>
      </w:tcPr>
    </w:tblStylePr>
    <w:tblStylePr w:type="lastCol">
      <w:rPr>
        <w:b/>
        <w:color w:val="404040"/>
      </w:rPr>
    </w:tblStylePr>
    <w:tblStylePr w:type="lastRow">
      <w:rPr>
        <w:b/>
        <w:color w:val="404040"/>
      </w:rPr>
    </w:tblStylePr>
  </w:style>
  <w:style w:type="table" w:styleId="1050">
    <w:name w:val="List Table 3 - Accent 5"/>
    <w:uiPriority w:val="99"/>
    <w:pPr>
      <w:spacing w:lineRule="auto" w:line="240" w:after="0"/>
    </w:pPr>
    <w:tblPr>
      <w:tblStyleRowBandSize w:val="1"/>
      <w:tblStyleColBandSize w:val="1"/>
      <w:tblInd w:w="0" w:type="dxa"/>
      <w:tblBorders>
        <w:left w:val="single" w:color="000000" w:sz="4" w:space="0" w:themeColor="accent5" w:themeTint="9A"/>
        <w:top w:val="single" w:color="000000" w:sz="4" w:space="0" w:themeColor="accent5" w:themeTint="9A"/>
        <w:right w:val="single" w:color="000000" w:sz="4" w:space="0" w:themeColor="accent5" w:themeTint="9A"/>
        <w:bottom w:val="single" w:color="000000" w:sz="4" w:space="0" w:themeColor="accent5" w:themeTint="9A"/>
      </w:tblBorders>
    </w:tblPr>
    <w:tblStylePr w:type="band1Horz">
      <w:rPr>
        <w:rFonts w:ascii="Arial" w:hAnsi="Arial"/>
        <w:color w:val="404040"/>
        <w:sz w:val="22"/>
      </w:rPr>
      <w:tcPr>
        <w:tcBorders>
          <w:top w:val="single" w:color="000000" w:sz="4" w:space="0" w:themeColor="accent5" w:themeTint="9A"/>
          <w:bottom w:val="single" w:color="000000" w:sz="4" w:space="0" w:themeColor="accent5" w:themeTint="9A"/>
        </w:tcBorders>
      </w:tcPr>
    </w:tblStylePr>
    <w:tblStylePr w:type="band1Vert">
      <w:rPr>
        <w:rFonts w:ascii="Arial" w:hAnsi="Arial"/>
        <w:color w:val="404040"/>
        <w:sz w:val="22"/>
      </w:rPr>
      <w:tcPr>
        <w:tcBorders>
          <w:left w:val="single" w:color="000000" w:sz="4" w:space="0" w:themeColor="accent5" w:themeTint="9A"/>
          <w:right w:val="single" w:color="000000" w:sz="4" w:space="0" w:themeColor="accent5" w:themeTint="9A"/>
        </w:tcBorders>
      </w:tcPr>
    </w:tblStylePr>
    <w:tblStylePr w:type="firstCol">
      <w:rPr>
        <w:b/>
        <w:color w:val="404040"/>
      </w:rPr>
    </w:tblStylePr>
    <w:tblStylePr w:type="firstRow">
      <w:rPr>
        <w:rFonts w:ascii="Arial" w:hAnsi="Arial"/>
        <w:b/>
        <w:color w:val="FFFFFF"/>
        <w:sz w:val="22"/>
      </w:rPr>
      <w:tcPr>
        <w:shd w:val="clear" w:fill="FFFFFF" w:color="FFFFFF" w:themeFill="accent5" w:themeFillTint="9A"/>
      </w:tcPr>
    </w:tblStylePr>
    <w:tblStylePr w:type="lastCol">
      <w:rPr>
        <w:b/>
        <w:color w:val="404040"/>
      </w:rPr>
    </w:tblStylePr>
    <w:tblStylePr w:type="lastRow">
      <w:rPr>
        <w:b/>
        <w:color w:val="404040"/>
      </w:rPr>
    </w:tblStylePr>
  </w:style>
  <w:style w:type="table" w:styleId="1051">
    <w:name w:val="List Table 3 - Accent 6"/>
    <w:uiPriority w:val="99"/>
    <w:pPr>
      <w:spacing w:lineRule="auto" w:line="240" w:after="0"/>
    </w:pPr>
    <w:tblPr>
      <w:tblStyleRowBandSize w:val="1"/>
      <w:tblStyleColBandSize w:val="1"/>
      <w:tblInd w:w="0" w:type="dxa"/>
      <w:tblBorders>
        <w:left w:val="single" w:color="000000" w:sz="4" w:space="0" w:themeColor="accent6" w:themeTint="98"/>
        <w:top w:val="single" w:color="000000" w:sz="4" w:space="0" w:themeColor="accent6" w:themeTint="98"/>
        <w:right w:val="single" w:color="000000" w:sz="4" w:space="0" w:themeColor="accent6" w:themeTint="98"/>
        <w:bottom w:val="single" w:color="000000" w:sz="4" w:space="0" w:themeColor="accent6" w:themeTint="98"/>
      </w:tblBorders>
    </w:tblPr>
    <w:tblStylePr w:type="band1Horz">
      <w:rPr>
        <w:rFonts w:ascii="Arial" w:hAnsi="Arial"/>
        <w:color w:val="404040"/>
        <w:sz w:val="22"/>
      </w:rPr>
      <w:tcPr>
        <w:tcBorders>
          <w:top w:val="single" w:color="000000" w:sz="4" w:space="0" w:themeColor="accent6" w:themeTint="98"/>
          <w:bottom w:val="single" w:color="000000" w:sz="4" w:space="0" w:themeColor="accent6" w:themeTint="98"/>
        </w:tcBorders>
      </w:tcPr>
    </w:tblStylePr>
    <w:tblStylePr w:type="band1Vert">
      <w:rPr>
        <w:rFonts w:ascii="Arial" w:hAnsi="Arial"/>
        <w:color w:val="404040"/>
        <w:sz w:val="22"/>
      </w:rPr>
      <w:tcPr>
        <w:tcBorders>
          <w:left w:val="single" w:color="000000" w:sz="4" w:space="0" w:themeColor="accent6" w:themeTint="98"/>
          <w:right w:val="single" w:color="000000" w:sz="4" w:space="0" w:themeColor="accent6" w:themeTint="98"/>
        </w:tcBorders>
      </w:tcPr>
    </w:tblStylePr>
    <w:tblStylePr w:type="firstCol">
      <w:rPr>
        <w:b/>
        <w:color w:val="404040"/>
      </w:rPr>
    </w:tblStylePr>
    <w:tblStylePr w:type="firstRow">
      <w:rPr>
        <w:rFonts w:ascii="Arial" w:hAnsi="Arial"/>
        <w:b/>
        <w:color w:val="FFFFFF"/>
        <w:sz w:val="22"/>
      </w:rPr>
      <w:tcPr>
        <w:shd w:val="clear" w:fill="FFFFFF" w:color="FFFFFF" w:themeFill="accent6" w:themeFillTint="98"/>
      </w:tcPr>
    </w:tblStylePr>
    <w:tblStylePr w:type="lastCol">
      <w:rPr>
        <w:b/>
        <w:color w:val="404040"/>
      </w:rPr>
    </w:tblStylePr>
    <w:tblStylePr w:type="lastRow">
      <w:rPr>
        <w:b/>
        <w:color w:val="404040"/>
      </w:rPr>
    </w:tblStylePr>
  </w:style>
  <w:style w:type="table" w:styleId="1052">
    <w:name w:val="List Table 4"/>
    <w:uiPriority w:val="99"/>
    <w:pPr>
      <w:spacing w:lineRule="auto" w:line="240" w:after="0"/>
    </w:pPr>
    <w:tblPr>
      <w:tblStyleRowBandSize w:val="1"/>
      <w:tblStyleColBandSize w:val="1"/>
      <w:tblInd w:w="0" w:type="dxa"/>
      <w:tblBorders>
        <w:left w:val="single" w:color="000000" w:sz="4" w:space="0" w:themeColor="text1"/>
        <w:top w:val="single" w:color="000000" w:sz="4" w:space="0" w:themeColor="text1"/>
        <w:right w:val="single" w:color="000000" w:sz="4" w:space="0" w:themeColor="text1"/>
        <w:bottom w:val="single" w:color="000000" w:sz="4" w:space="0" w:themeColor="text1"/>
        <w:insideH w:val="single" w:color="000000" w:sz="4" w:space="0" w:themeColor="text1"/>
      </w:tblBorders>
    </w:tblPr>
    <w:tblStylePr w:type="band1Horz">
      <w:rPr>
        <w:rFonts w:ascii="Arial" w:hAnsi="Arial"/>
        <w:color w:val="404040"/>
        <w:sz w:val="22"/>
      </w:rPr>
      <w:tcPr>
        <w:shd w:val="clear" w:fill="FFFFFF" w:color="FFFFFF" w:themeFill="text1" w:themeFillTint="40"/>
      </w:tcPr>
    </w:tblStylePr>
    <w:tblStylePr w:type="band1Vert">
      <w:rPr>
        <w:rFonts w:ascii="Arial" w:hAnsi="Arial"/>
        <w:color w:val="404040"/>
        <w:sz w:val="22"/>
      </w:rPr>
      <w:tcPr>
        <w:shd w:val="clear" w:fill="FFFFFF" w:color="FFFFFF" w:themeFill="text1" w:themeFillTint="40"/>
      </w:tcPr>
    </w:tblStylePr>
    <w:tblStylePr w:type="firstCol">
      <w:rPr>
        <w:b/>
        <w:color w:val="404040"/>
      </w:rPr>
    </w:tblStylePr>
    <w:tblStylePr w:type="firstRow">
      <w:rPr>
        <w:rFonts w:ascii="Arial" w:hAnsi="Arial"/>
        <w:b/>
        <w:color w:val="FFFFFF"/>
        <w:sz w:val="22"/>
      </w:rPr>
      <w:tcPr>
        <w:shd w:val="clear" w:fill="FFFFFF" w:color="FFFFFF" w:themeFill="text1"/>
      </w:tcPr>
    </w:tblStylePr>
    <w:tblStylePr w:type="lastCol">
      <w:rPr>
        <w:b/>
        <w:color w:val="404040"/>
      </w:rPr>
    </w:tblStylePr>
    <w:tblStylePr w:type="lastRow">
      <w:rPr>
        <w:b/>
        <w:color w:val="404040"/>
      </w:rPr>
    </w:tblStylePr>
  </w:style>
  <w:style w:type="table" w:styleId="1053">
    <w:name w:val="List Table 4 - Accent 1"/>
    <w:uiPriority w:val="99"/>
    <w:pPr>
      <w:spacing w:lineRule="auto" w:line="240" w:after="0"/>
    </w:pPr>
    <w:tblPr>
      <w:tblStyleRowBandSize w:val="1"/>
      <w:tblStyleColBandSize w:val="1"/>
      <w:tblInd w:w="0" w:type="dxa"/>
      <w:tblBorders>
        <w:left w:val="single" w:color="000000" w:sz="4" w:space="0" w:themeColor="accent1" w:themeTint="90"/>
        <w:top w:val="single" w:color="000000" w:sz="4" w:space="0" w:themeColor="accent1" w:themeTint="90"/>
        <w:right w:val="single" w:color="000000" w:sz="4" w:space="0" w:themeColor="accent1" w:themeTint="90"/>
        <w:bottom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fill="FFFFFF" w:color="FFFFFF" w:themeFill="accent1" w:themeFillTint="40"/>
      </w:tcPr>
    </w:tblStylePr>
    <w:tblStylePr w:type="band1Vert">
      <w:rPr>
        <w:rFonts w:ascii="Arial" w:hAnsi="Arial"/>
        <w:color w:val="404040"/>
        <w:sz w:val="22"/>
      </w:rPr>
      <w:tcPr>
        <w:shd w:val="clear" w:fill="FFFFFF" w:color="FFFFFF" w:themeFill="accent1" w:themeFillTint="40"/>
      </w:tcPr>
    </w:tblStylePr>
    <w:tblStylePr w:type="firstCol">
      <w:rPr>
        <w:b/>
        <w:color w:val="404040"/>
      </w:rPr>
    </w:tblStylePr>
    <w:tblStylePr w:type="firstRow">
      <w:rPr>
        <w:rFonts w:ascii="Arial" w:hAnsi="Arial"/>
        <w:b/>
        <w:color w:val="FFFFFF"/>
        <w:sz w:val="22"/>
      </w:rPr>
      <w:tcPr>
        <w:shd w:val="clear" w:fill="FFFFFF" w:color="FFFFFF" w:themeFill="accent1"/>
      </w:tcPr>
    </w:tblStylePr>
    <w:tblStylePr w:type="lastCol">
      <w:rPr>
        <w:b/>
        <w:color w:val="404040"/>
      </w:rPr>
    </w:tblStylePr>
    <w:tblStylePr w:type="lastRow">
      <w:rPr>
        <w:b/>
        <w:color w:val="404040"/>
      </w:rPr>
    </w:tblStylePr>
  </w:style>
  <w:style w:type="table" w:styleId="1054">
    <w:name w:val="List Table 4 - Accent 2"/>
    <w:uiPriority w:val="99"/>
    <w:pPr>
      <w:spacing w:lineRule="auto" w:line="240" w:after="0"/>
    </w:pPr>
    <w:tblPr>
      <w:tblStyleRowBandSize w:val="1"/>
      <w:tblStyleColBandSize w:val="1"/>
      <w:tblInd w:w="0" w:type="dxa"/>
      <w:tblBorders>
        <w:left w:val="single" w:color="000000" w:sz="4" w:space="0" w:themeColor="accent2" w:themeTint="90"/>
        <w:top w:val="single" w:color="000000" w:sz="4" w:space="0" w:themeColor="accent2" w:themeTint="90"/>
        <w:right w:val="single" w:color="000000" w:sz="4" w:space="0" w:themeColor="accent2" w:themeTint="90"/>
        <w:bottom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fill="FFFFFF" w:color="FFFFFF" w:themeFill="accent2" w:themeFillTint="40"/>
      </w:tcPr>
    </w:tblStylePr>
    <w:tblStylePr w:type="band1Vert">
      <w:rPr>
        <w:rFonts w:ascii="Arial" w:hAnsi="Arial"/>
        <w:color w:val="404040"/>
        <w:sz w:val="22"/>
      </w:rPr>
      <w:tcPr>
        <w:shd w:val="clear" w:fill="FFFFFF" w:color="FFFFFF" w:themeFill="accent2" w:themeFillTint="40"/>
      </w:tcPr>
    </w:tblStylePr>
    <w:tblStylePr w:type="firstCol">
      <w:rPr>
        <w:b/>
        <w:color w:val="404040"/>
      </w:rPr>
    </w:tblStylePr>
    <w:tblStylePr w:type="firstRow">
      <w:rPr>
        <w:rFonts w:ascii="Arial" w:hAnsi="Arial"/>
        <w:b/>
        <w:color w:val="FFFFFF"/>
        <w:sz w:val="22"/>
      </w:rPr>
      <w:tcPr>
        <w:shd w:val="clear" w:fill="FFFFFF" w:color="FFFFFF" w:themeFill="accent2"/>
      </w:tcPr>
    </w:tblStylePr>
    <w:tblStylePr w:type="lastCol">
      <w:rPr>
        <w:b/>
        <w:color w:val="404040"/>
      </w:rPr>
    </w:tblStylePr>
    <w:tblStylePr w:type="lastRow">
      <w:rPr>
        <w:b/>
        <w:color w:val="404040"/>
      </w:rPr>
    </w:tblStylePr>
  </w:style>
  <w:style w:type="table" w:styleId="1055">
    <w:name w:val="List Table 4 - Accent 3"/>
    <w:uiPriority w:val="99"/>
    <w:pPr>
      <w:spacing w:lineRule="auto" w:line="240" w:after="0"/>
    </w:pPr>
    <w:tblPr>
      <w:tblStyleRowBandSize w:val="1"/>
      <w:tblStyleColBandSize w:val="1"/>
      <w:tblInd w:w="0" w:type="dxa"/>
      <w:tblBorders>
        <w:left w:val="single" w:color="000000" w:sz="4" w:space="0" w:themeColor="accent3" w:themeTint="90"/>
        <w:top w:val="single" w:color="000000" w:sz="4" w:space="0" w:themeColor="accent3" w:themeTint="90"/>
        <w:right w:val="single" w:color="000000" w:sz="4" w:space="0" w:themeColor="accent3" w:themeTint="90"/>
        <w:bottom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fill="FFFFFF" w:color="FFFFFF" w:themeFill="accent3" w:themeFillTint="40"/>
      </w:tcPr>
    </w:tblStylePr>
    <w:tblStylePr w:type="band1Vert">
      <w:rPr>
        <w:rFonts w:ascii="Arial" w:hAnsi="Arial"/>
        <w:color w:val="404040"/>
        <w:sz w:val="22"/>
      </w:rPr>
      <w:tcPr>
        <w:shd w:val="clear" w:fill="FFFFFF" w:color="FFFFFF" w:themeFill="accent3" w:themeFillTint="40"/>
      </w:tcPr>
    </w:tblStylePr>
    <w:tblStylePr w:type="firstCol">
      <w:rPr>
        <w:b/>
        <w:color w:val="404040"/>
      </w:rPr>
    </w:tblStylePr>
    <w:tblStylePr w:type="firstRow">
      <w:rPr>
        <w:rFonts w:ascii="Arial" w:hAnsi="Arial"/>
        <w:b/>
        <w:color w:val="FFFFFF"/>
        <w:sz w:val="22"/>
      </w:rPr>
      <w:tcPr>
        <w:shd w:val="clear" w:fill="FFFFFF" w:color="FFFFFF" w:themeFill="accent3"/>
      </w:tcPr>
    </w:tblStylePr>
    <w:tblStylePr w:type="lastCol">
      <w:rPr>
        <w:b/>
        <w:color w:val="404040"/>
      </w:rPr>
    </w:tblStylePr>
    <w:tblStylePr w:type="lastRow">
      <w:rPr>
        <w:b/>
        <w:color w:val="404040"/>
      </w:rPr>
    </w:tblStylePr>
  </w:style>
  <w:style w:type="table" w:styleId="1056">
    <w:name w:val="List Table 4 - Accent 4"/>
    <w:uiPriority w:val="99"/>
    <w:pPr>
      <w:spacing w:lineRule="auto" w:line="240" w:after="0"/>
    </w:pPr>
    <w:tblPr>
      <w:tblStyleRowBandSize w:val="1"/>
      <w:tblStyleColBandSize w:val="1"/>
      <w:tblInd w:w="0" w:type="dxa"/>
      <w:tblBorders>
        <w:left w:val="single" w:color="000000" w:sz="4" w:space="0" w:themeColor="accent4" w:themeTint="90"/>
        <w:top w:val="single" w:color="000000" w:sz="4" w:space="0" w:themeColor="accent4" w:themeTint="90"/>
        <w:right w:val="single" w:color="000000" w:sz="4" w:space="0" w:themeColor="accent4" w:themeTint="90"/>
        <w:bottom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fill="FFFFFF" w:color="FFFFFF" w:themeFill="accent4" w:themeFillTint="40"/>
      </w:tcPr>
    </w:tblStylePr>
    <w:tblStylePr w:type="band1Vert">
      <w:rPr>
        <w:rFonts w:ascii="Arial" w:hAnsi="Arial"/>
        <w:color w:val="404040"/>
        <w:sz w:val="22"/>
      </w:rPr>
      <w:tcPr>
        <w:shd w:val="clear" w:fill="FFFFFF" w:color="FFFFFF" w:themeFill="accent4" w:themeFillTint="40"/>
      </w:tcPr>
    </w:tblStylePr>
    <w:tblStylePr w:type="firstCol">
      <w:rPr>
        <w:b/>
        <w:color w:val="404040"/>
      </w:rPr>
    </w:tblStylePr>
    <w:tblStylePr w:type="firstRow">
      <w:rPr>
        <w:rFonts w:ascii="Arial" w:hAnsi="Arial"/>
        <w:b/>
        <w:color w:val="FFFFFF"/>
        <w:sz w:val="22"/>
      </w:rPr>
      <w:tcPr>
        <w:shd w:val="clear" w:fill="FFFFFF" w:color="FFFFFF" w:themeFill="accent4"/>
      </w:tcPr>
    </w:tblStylePr>
    <w:tblStylePr w:type="lastCol">
      <w:rPr>
        <w:b/>
        <w:color w:val="404040"/>
      </w:rPr>
    </w:tblStylePr>
    <w:tblStylePr w:type="lastRow">
      <w:rPr>
        <w:b/>
        <w:color w:val="404040"/>
      </w:rPr>
    </w:tblStylePr>
  </w:style>
  <w:style w:type="table" w:styleId="1057">
    <w:name w:val="List Table 4 - Accent 5"/>
    <w:uiPriority w:val="99"/>
    <w:pPr>
      <w:spacing w:lineRule="auto" w:line="240" w:after="0"/>
    </w:pPr>
    <w:tblPr>
      <w:tblStyleRowBandSize w:val="1"/>
      <w:tblStyleColBandSize w:val="1"/>
      <w:tblInd w:w="0" w:type="dxa"/>
      <w:tblBorders>
        <w:left w:val="single" w:color="000000" w:sz="4" w:space="0" w:themeColor="accent5" w:themeTint="90"/>
        <w:top w:val="single" w:color="000000" w:sz="4" w:space="0" w:themeColor="accent5" w:themeTint="90"/>
        <w:right w:val="single" w:color="000000" w:sz="4" w:space="0" w:themeColor="accent5" w:themeTint="90"/>
        <w:bottom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fill="FFFFFF" w:color="FFFFFF" w:themeFill="accent5" w:themeFillTint="40"/>
      </w:tcPr>
    </w:tblStylePr>
    <w:tblStylePr w:type="band1Vert">
      <w:rPr>
        <w:rFonts w:ascii="Arial" w:hAnsi="Arial"/>
        <w:color w:val="404040"/>
        <w:sz w:val="22"/>
      </w:rPr>
      <w:tcPr>
        <w:shd w:val="clear" w:fill="FFFFFF" w:color="FFFFFF" w:themeFill="accent5" w:themeFillTint="40"/>
      </w:tcPr>
    </w:tblStylePr>
    <w:tblStylePr w:type="firstCol">
      <w:rPr>
        <w:b/>
        <w:color w:val="404040"/>
      </w:rPr>
    </w:tblStylePr>
    <w:tblStylePr w:type="firstRow">
      <w:rPr>
        <w:rFonts w:ascii="Arial" w:hAnsi="Arial"/>
        <w:b/>
        <w:color w:val="FFFFFF"/>
        <w:sz w:val="22"/>
      </w:rPr>
      <w:tcPr>
        <w:shd w:val="clear" w:fill="FFFFFF" w:color="FFFFFF" w:themeFill="accent5"/>
      </w:tcPr>
    </w:tblStylePr>
    <w:tblStylePr w:type="lastCol">
      <w:rPr>
        <w:b/>
        <w:color w:val="404040"/>
      </w:rPr>
    </w:tblStylePr>
    <w:tblStylePr w:type="lastRow">
      <w:rPr>
        <w:b/>
        <w:color w:val="404040"/>
      </w:rPr>
    </w:tblStylePr>
  </w:style>
  <w:style w:type="table" w:styleId="1058">
    <w:name w:val="List Table 4 - Accent 6"/>
    <w:uiPriority w:val="99"/>
    <w:pPr>
      <w:spacing w:lineRule="auto" w:line="240" w:after="0"/>
    </w:pPr>
    <w:tblPr>
      <w:tblStyleRowBandSize w:val="1"/>
      <w:tblStyleColBandSize w:val="1"/>
      <w:tblInd w:w="0" w:type="dxa"/>
      <w:tblBorders>
        <w:left w:val="single" w:color="000000" w:sz="4" w:space="0" w:themeColor="accent6" w:themeTint="90"/>
        <w:top w:val="single" w:color="000000" w:sz="4" w:space="0" w:themeColor="accent6" w:themeTint="90"/>
        <w:right w:val="single" w:color="000000" w:sz="4" w:space="0" w:themeColor="accent6" w:themeTint="90"/>
        <w:bottom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fill="FFFFFF" w:color="FFFFFF" w:themeFill="accent6" w:themeFillTint="40"/>
      </w:tcPr>
    </w:tblStylePr>
    <w:tblStylePr w:type="band1Vert">
      <w:rPr>
        <w:rFonts w:ascii="Arial" w:hAnsi="Arial"/>
        <w:color w:val="404040"/>
        <w:sz w:val="22"/>
      </w:rPr>
      <w:tcPr>
        <w:shd w:val="clear" w:fill="FFFFFF" w:color="FFFFFF" w:themeFill="accent6" w:themeFillTint="40"/>
      </w:tcPr>
    </w:tblStylePr>
    <w:tblStylePr w:type="firstCol">
      <w:rPr>
        <w:b/>
        <w:color w:val="404040"/>
      </w:rPr>
    </w:tblStylePr>
    <w:tblStylePr w:type="firstRow">
      <w:rPr>
        <w:rFonts w:ascii="Arial" w:hAnsi="Arial"/>
        <w:b/>
        <w:color w:val="FFFFFF"/>
        <w:sz w:val="22"/>
      </w:rPr>
      <w:tcPr>
        <w:shd w:val="clear" w:fill="FFFFFF" w:color="FFFFFF" w:themeFill="accent6"/>
      </w:tcPr>
    </w:tblStylePr>
    <w:tblStylePr w:type="lastCol">
      <w:rPr>
        <w:b/>
        <w:color w:val="404040"/>
      </w:rPr>
    </w:tblStylePr>
    <w:tblStylePr w:type="lastRow">
      <w:rPr>
        <w:b/>
        <w:color w:val="404040"/>
      </w:rPr>
    </w:tblStylePr>
  </w:style>
  <w:style w:type="table" w:styleId="1059">
    <w:name w:val="List Table 5 Dark"/>
    <w:uiPriority w:val="99"/>
    <w:pPr>
      <w:spacing w:lineRule="auto" w:line="240" w:after="0"/>
    </w:pPr>
    <w:tblPr>
      <w:tblStyleRowBandSize w:val="1"/>
      <w:tblStyleColBandSize w:val="1"/>
      <w:tblInd w:w="0" w:type="dxa"/>
      <w:tblBorders>
        <w:left w:val="single" w:color="000000" w:sz="32" w:space="0" w:themeColor="text1" w:themeTint="80"/>
        <w:top w:val="single" w:color="000000" w:sz="32" w:space="0" w:themeColor="text1" w:themeTint="80"/>
        <w:right w:val="single" w:color="000000" w:sz="32" w:space="0" w:themeColor="text1" w:themeTint="80"/>
        <w:bottom w:val="single" w:color="000000" w:sz="32" w:space="0" w:themeColor="text1" w:themeTint="80"/>
      </w:tblBorders>
      <w:shd w:val="clear" w:fill="FFFFFF" w:color="FFFFFF" w:themeFill="text1" w:themeFillTint="80"/>
    </w:tblPr>
    <w:tblStylePr w:type="band1Horz">
      <w:tcPr>
        <w:shd w:val="clear" w:fill="FFFFFF" w:color="FFFFFF" w:themeFill="text1" w:themeFillTint="80"/>
        <w:tcBorders>
          <w:top w:val="single" w:color="000000" w:sz="4" w:space="0" w:themeColor="light1"/>
          <w:bottom w:val="single" w:color="000000" w:sz="4" w:space="0" w:themeColor="light1"/>
        </w:tcBorders>
      </w:tcPr>
    </w:tblStylePr>
    <w:tblStylePr w:type="band1Vert">
      <w:tcPr>
        <w:shd w:val="clear" w:fill="FFFFFF" w:color="FFFFFF" w:themeFill="text1" w:themeFillTint="80"/>
        <w:tcBorders>
          <w:left w:val="single" w:color="000000" w:sz="4" w:space="0" w:themeColor="light1"/>
          <w:right w:val="single" w:color="000000" w:sz="4" w:space="0" w:themeColor="light1"/>
        </w:tcBorders>
      </w:tcPr>
    </w:tblStylePr>
    <w:tblStylePr w:type="band2Horz">
      <w:tcPr>
        <w:shd w:val="clear" w:fill="FFFFFF" w:color="FFFFFF" w:themeFill="text1" w:themeFillTint="80"/>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text1" w:themeTint="80"/>
          <w:right w:val="single" w:color="000000" w:sz="4" w:space="0" w:themeColor="light1"/>
        </w:tcBorders>
      </w:tcPr>
    </w:tblStylePr>
    <w:tblStylePr w:type="firstRow">
      <w:rPr>
        <w:rFonts w:ascii="Arial" w:hAnsi="Arial"/>
        <w:b/>
        <w:color w:val="FFFFFF" w:themeColor="light1"/>
        <w:sz w:val="22"/>
      </w:rPr>
      <w:tcPr>
        <w:shd w:val="clear" w:fill="FFFFFF" w:color="FFFFFF" w:themeFill="text1" w:themeFillTint="80"/>
        <w:tcBorders>
          <w:top w:val="single" w:color="000000" w:sz="32" w:space="0" w:themeColor="text1" w:themeTint="80"/>
          <w:bottom w:val="single" w:color="000000" w:sz="12" w:space="0" w:themeColor="light1"/>
        </w:tcBorders>
      </w:tcPr>
    </w:tblStylePr>
    <w:tblStylePr w:type="lastCol">
      <w:tcPr>
        <w:tcBorders>
          <w:left w:val="single" w:color="000000" w:sz="4" w:space="0" w:themeColor="light1"/>
          <w:right w:val="single" w:color="000000" w:sz="32" w:space="0" w:themeColor="text1" w:themeTint="8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060">
    <w:name w:val="List Table 5 Dark - Accent 1"/>
    <w:uiPriority w:val="99"/>
    <w:pPr>
      <w:spacing w:lineRule="auto" w:line="240" w:after="0"/>
    </w:pPr>
    <w:tblPr>
      <w:tblStyleRowBandSize w:val="1"/>
      <w:tblStyleColBandSize w:val="1"/>
      <w:tblInd w:w="0" w:type="dxa"/>
      <w:tblBorders>
        <w:left w:val="single" w:color="000000" w:sz="32" w:space="0" w:themeColor="accent1"/>
        <w:top w:val="single" w:color="000000" w:sz="32" w:space="0" w:themeColor="accent1"/>
        <w:right w:val="single" w:color="000000" w:sz="32" w:space="0" w:themeColor="accent1"/>
        <w:bottom w:val="single" w:color="000000" w:sz="32" w:space="0" w:themeColor="accent1"/>
      </w:tblBorders>
      <w:shd w:val="clear" w:fill="FFFFFF" w:color="FFFFFF" w:themeFill="accent1"/>
    </w:tblPr>
    <w:tblStylePr w:type="band1Horz">
      <w:tcPr>
        <w:shd w:val="clear" w:fill="FFFFFF" w:color="FFFFFF" w:themeFill="accent1"/>
        <w:tcBorders>
          <w:top w:val="single" w:color="000000" w:sz="4" w:space="0" w:themeColor="light1"/>
          <w:bottom w:val="single" w:color="000000" w:sz="4" w:space="0" w:themeColor="light1"/>
        </w:tcBorders>
      </w:tcPr>
    </w:tblStylePr>
    <w:tblStylePr w:type="band1Vert">
      <w:tcPr>
        <w:shd w:val="clear" w:fill="FFFFFF" w:color="FFFFFF" w:themeFill="accent1"/>
        <w:tcBorders>
          <w:left w:val="single" w:color="000000" w:sz="4" w:space="0" w:themeColor="light1"/>
          <w:right w:val="single" w:color="000000" w:sz="4" w:space="0" w:themeColor="light1"/>
        </w:tcBorders>
      </w:tcPr>
    </w:tblStylePr>
    <w:tblStylePr w:type="band2Horz">
      <w:tcPr>
        <w:shd w:val="clear" w:fill="FFFFFF" w:color="FFFFFF" w:themeFill="accent1"/>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1"/>
          <w:right w:val="single" w:color="000000" w:sz="4" w:space="0" w:themeColor="light1"/>
        </w:tcBorders>
      </w:tcPr>
    </w:tblStylePr>
    <w:tblStylePr w:type="firstRow">
      <w:rPr>
        <w:rFonts w:ascii="Arial" w:hAnsi="Arial"/>
        <w:b/>
        <w:color w:val="FFFFFF" w:themeColor="light1"/>
        <w:sz w:val="22"/>
      </w:rPr>
      <w:tcPr>
        <w:shd w:val="clear" w:fill="FFFFFF" w:color="FFFFFF" w:themeFill="accent1"/>
        <w:tcBorders>
          <w:top w:val="single" w:color="000000" w:sz="32" w:space="0" w:themeColor="accent1"/>
          <w:bottom w:val="single" w:color="000000" w:sz="12" w:space="0" w:themeColor="light1"/>
        </w:tcBorders>
      </w:tcPr>
    </w:tblStylePr>
    <w:tblStylePr w:type="lastCol">
      <w:tcPr>
        <w:tcBorders>
          <w:left w:val="single" w:color="000000" w:sz="4" w:space="0" w:themeColor="light1"/>
          <w:right w:val="single" w:color="000000" w:sz="32" w:space="0" w:themeColor="accent1"/>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061">
    <w:name w:val="List Table 5 Dark - Accent 2"/>
    <w:uiPriority w:val="99"/>
    <w:pPr>
      <w:spacing w:lineRule="auto" w:line="240" w:after="0"/>
    </w:pPr>
    <w:tblPr>
      <w:tblStyleRowBandSize w:val="1"/>
      <w:tblStyleColBandSize w:val="1"/>
      <w:tblInd w:w="0" w:type="dxa"/>
      <w:tblBorders>
        <w:left w:val="single" w:color="000000" w:sz="32" w:space="0" w:themeColor="accent2" w:themeTint="97"/>
        <w:top w:val="single" w:color="000000" w:sz="32" w:space="0" w:themeColor="accent2" w:themeTint="97"/>
        <w:right w:val="single" w:color="000000" w:sz="32" w:space="0" w:themeColor="accent2" w:themeTint="97"/>
        <w:bottom w:val="single" w:color="000000" w:sz="32" w:space="0" w:themeColor="accent2" w:themeTint="97"/>
      </w:tblBorders>
      <w:shd w:val="clear" w:fill="FFFFFF" w:color="FFFFFF" w:themeFill="accent2" w:themeFillTint="97"/>
    </w:tblPr>
    <w:tblStylePr w:type="band1Horz">
      <w:tcPr>
        <w:shd w:val="clear" w:fill="FFFFFF" w:color="FFFFFF" w:themeFill="accent2" w:themeFillTint="97"/>
        <w:tcBorders>
          <w:top w:val="single" w:color="000000" w:sz="4" w:space="0" w:themeColor="light1"/>
          <w:bottom w:val="single" w:color="000000" w:sz="4" w:space="0" w:themeColor="light1"/>
        </w:tcBorders>
      </w:tcPr>
    </w:tblStylePr>
    <w:tblStylePr w:type="band1Vert">
      <w:tcPr>
        <w:shd w:val="clear" w:fill="FFFFFF" w:color="FFFFFF" w:themeFill="accent2" w:themeFillTint="97"/>
        <w:tcBorders>
          <w:left w:val="single" w:color="000000" w:sz="4" w:space="0" w:themeColor="light1"/>
          <w:right w:val="single" w:color="000000" w:sz="4" w:space="0" w:themeColor="light1"/>
        </w:tcBorders>
      </w:tcPr>
    </w:tblStylePr>
    <w:tblStylePr w:type="band2Horz">
      <w:tcPr>
        <w:shd w:val="clear" w:fill="FFFFFF" w:color="FFFFFF" w:themeFill="accent2" w:themeFillTint="97"/>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2" w:themeTint="97"/>
          <w:right w:val="single" w:color="000000" w:sz="4" w:space="0" w:themeColor="light1"/>
        </w:tcBorders>
      </w:tcPr>
    </w:tblStylePr>
    <w:tblStylePr w:type="firstRow">
      <w:rPr>
        <w:rFonts w:ascii="Arial" w:hAnsi="Arial"/>
        <w:b/>
        <w:color w:val="FFFFFF" w:themeColor="light1"/>
        <w:sz w:val="22"/>
      </w:rPr>
      <w:tcPr>
        <w:shd w:val="clear" w:fill="FFFFFF" w:color="FFFFFF" w:themeFill="accent2" w:themeFillTint="97"/>
        <w:tcBorders>
          <w:top w:val="single" w:color="000000" w:sz="32" w:space="0" w:themeColor="accent2" w:themeTint="97"/>
          <w:bottom w:val="single" w:color="000000" w:sz="12" w:space="0" w:themeColor="light1"/>
        </w:tcBorders>
      </w:tcPr>
    </w:tblStylePr>
    <w:tblStylePr w:type="lastCol">
      <w:tcPr>
        <w:tcBorders>
          <w:left w:val="single" w:color="000000" w:sz="4" w:space="0" w:themeColor="light1"/>
          <w:right w:val="single" w:color="000000" w:sz="32" w:space="0" w:themeColor="accent2" w:themeTint="97"/>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062">
    <w:name w:val="List Table 5 Dark - Accent 3"/>
    <w:uiPriority w:val="99"/>
    <w:pPr>
      <w:spacing w:lineRule="auto" w:line="240" w:after="0"/>
    </w:pPr>
    <w:tblPr>
      <w:tblStyleRowBandSize w:val="1"/>
      <w:tblStyleColBandSize w:val="1"/>
      <w:tblInd w:w="0" w:type="dxa"/>
      <w:tblBorders>
        <w:left w:val="single" w:color="000000" w:sz="32" w:space="0" w:themeColor="accent3" w:themeTint="98"/>
        <w:top w:val="single" w:color="000000" w:sz="32" w:space="0" w:themeColor="accent3" w:themeTint="98"/>
        <w:right w:val="single" w:color="000000" w:sz="32" w:space="0" w:themeColor="accent3" w:themeTint="98"/>
        <w:bottom w:val="single" w:color="000000" w:sz="32" w:space="0" w:themeColor="accent3" w:themeTint="98"/>
      </w:tblBorders>
      <w:shd w:val="clear" w:fill="FFFFFF" w:color="FFFFFF" w:themeFill="accent3" w:themeFillTint="98"/>
    </w:tblPr>
    <w:tblStylePr w:type="band1Horz">
      <w:tcPr>
        <w:shd w:val="clear" w:fill="FFFFFF" w:color="FFFFFF" w:themeFill="accent3" w:themeFillTint="98"/>
        <w:tcBorders>
          <w:top w:val="single" w:color="000000" w:sz="4" w:space="0" w:themeColor="light1"/>
          <w:bottom w:val="single" w:color="000000" w:sz="4" w:space="0" w:themeColor="light1"/>
        </w:tcBorders>
      </w:tcPr>
    </w:tblStylePr>
    <w:tblStylePr w:type="band1Vert">
      <w:tcPr>
        <w:shd w:val="clear" w:fill="FFFFFF" w:color="FFFFFF" w:themeFill="accent3" w:themeFillTint="98"/>
        <w:tcBorders>
          <w:left w:val="single" w:color="000000" w:sz="4" w:space="0" w:themeColor="light1"/>
          <w:right w:val="single" w:color="000000" w:sz="4" w:space="0" w:themeColor="light1"/>
        </w:tcBorders>
      </w:tcPr>
    </w:tblStylePr>
    <w:tblStylePr w:type="band2Horz">
      <w:tcPr>
        <w:shd w:val="clear" w:fill="FFFFFF" w:color="FFFFFF" w:themeFill="accent3" w:themeFillTint="98"/>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3" w:themeTint="98"/>
          <w:right w:val="single" w:color="000000" w:sz="4" w:space="0" w:themeColor="light1"/>
        </w:tcBorders>
      </w:tcPr>
    </w:tblStylePr>
    <w:tblStylePr w:type="firstRow">
      <w:rPr>
        <w:rFonts w:ascii="Arial" w:hAnsi="Arial"/>
        <w:b/>
        <w:color w:val="FFFFFF" w:themeColor="light1"/>
        <w:sz w:val="22"/>
      </w:rPr>
      <w:tcPr>
        <w:shd w:val="clear" w:fill="FFFFFF" w:color="FFFFFF" w:themeFill="accent3" w:themeFillTint="98"/>
        <w:tcBorders>
          <w:top w:val="single" w:color="000000" w:sz="32" w:space="0" w:themeColor="accent3" w:themeTint="98"/>
          <w:bottom w:val="single" w:color="000000" w:sz="12" w:space="0" w:themeColor="light1"/>
        </w:tcBorders>
      </w:tcPr>
    </w:tblStylePr>
    <w:tblStylePr w:type="lastCol">
      <w:tcPr>
        <w:tcBorders>
          <w:left w:val="single" w:color="000000" w:sz="4" w:space="0" w:themeColor="light1"/>
          <w:right w:val="single" w:color="000000" w:sz="32" w:space="0" w:themeColor="accent3" w:themeTint="98"/>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063">
    <w:name w:val="List Table 5 Dark - Accent 4"/>
    <w:uiPriority w:val="99"/>
    <w:pPr>
      <w:spacing w:lineRule="auto" w:line="240" w:after="0"/>
    </w:pPr>
    <w:tblPr>
      <w:tblStyleRowBandSize w:val="1"/>
      <w:tblStyleColBandSize w:val="1"/>
      <w:tblInd w:w="0" w:type="dxa"/>
      <w:tblBorders>
        <w:left w:val="single" w:color="000000" w:sz="32" w:space="0" w:themeColor="accent4" w:themeTint="9A"/>
        <w:top w:val="single" w:color="000000" w:sz="32" w:space="0" w:themeColor="accent4" w:themeTint="9A"/>
        <w:right w:val="single" w:color="000000" w:sz="32" w:space="0" w:themeColor="accent4" w:themeTint="9A"/>
        <w:bottom w:val="single" w:color="000000" w:sz="32" w:space="0" w:themeColor="accent4" w:themeTint="9A"/>
      </w:tblBorders>
      <w:shd w:val="clear" w:fill="FFFFFF" w:color="FFFFFF" w:themeFill="accent4" w:themeFillTint="9A"/>
    </w:tblPr>
    <w:tblStylePr w:type="band1Horz">
      <w:tcPr>
        <w:shd w:val="clear" w:fill="FFFFFF" w:color="FFFFFF" w:themeFill="accent4" w:themeFillTint="9A"/>
        <w:tcBorders>
          <w:top w:val="single" w:color="000000" w:sz="4" w:space="0" w:themeColor="light1"/>
          <w:bottom w:val="single" w:color="000000" w:sz="4" w:space="0" w:themeColor="light1"/>
        </w:tcBorders>
      </w:tcPr>
    </w:tblStylePr>
    <w:tblStylePr w:type="band1Vert">
      <w:tcPr>
        <w:shd w:val="clear" w:fill="FFFFFF" w:color="FFFFFF" w:themeFill="accent4" w:themeFillTint="9A"/>
        <w:tcBorders>
          <w:left w:val="single" w:color="000000" w:sz="4" w:space="0" w:themeColor="light1"/>
          <w:right w:val="single" w:color="000000" w:sz="4" w:space="0" w:themeColor="light1"/>
        </w:tcBorders>
      </w:tcPr>
    </w:tblStylePr>
    <w:tblStylePr w:type="band2Horz">
      <w:tcPr>
        <w:shd w:val="clear" w:fill="FFFFFF" w:color="FFFFFF" w:themeFill="accent4" w:themeFillTint="9A"/>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4" w:themeTint="9A"/>
          <w:right w:val="single" w:color="000000" w:sz="4" w:space="0" w:themeColor="light1"/>
        </w:tcBorders>
      </w:tcPr>
    </w:tblStylePr>
    <w:tblStylePr w:type="firstRow">
      <w:rPr>
        <w:rFonts w:ascii="Arial" w:hAnsi="Arial"/>
        <w:b/>
        <w:color w:val="FFFFFF" w:themeColor="light1"/>
        <w:sz w:val="22"/>
      </w:rPr>
      <w:tcPr>
        <w:shd w:val="clear" w:fill="FFFFFF" w:color="FFFFFF" w:themeFill="accent4" w:themeFillTint="9A"/>
        <w:tcBorders>
          <w:top w:val="single" w:color="000000" w:sz="32" w:space="0" w:themeColor="accent4" w:themeTint="9A"/>
          <w:bottom w:val="single" w:color="000000" w:sz="12" w:space="0" w:themeColor="light1"/>
        </w:tcBorders>
      </w:tcPr>
    </w:tblStylePr>
    <w:tblStylePr w:type="lastCol">
      <w:tcPr>
        <w:tcBorders>
          <w:left w:val="single" w:color="000000" w:sz="4" w:space="0" w:themeColor="light1"/>
          <w:right w:val="single" w:color="000000" w:sz="32" w:space="0" w:themeColor="accent4" w:themeTint="9A"/>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064">
    <w:name w:val="List Table 5 Dark - Accent 5"/>
    <w:uiPriority w:val="99"/>
    <w:pPr>
      <w:spacing w:lineRule="auto" w:line="240" w:after="0"/>
    </w:pPr>
    <w:tblPr>
      <w:tblStyleRowBandSize w:val="1"/>
      <w:tblStyleColBandSize w:val="1"/>
      <w:tblInd w:w="0" w:type="dxa"/>
      <w:tblBorders>
        <w:left w:val="single" w:color="000000" w:sz="32" w:space="0" w:themeColor="accent5" w:themeTint="9A"/>
        <w:top w:val="single" w:color="000000" w:sz="32" w:space="0" w:themeColor="accent5" w:themeTint="9A"/>
        <w:right w:val="single" w:color="000000" w:sz="32" w:space="0" w:themeColor="accent5" w:themeTint="9A"/>
        <w:bottom w:val="single" w:color="000000" w:sz="32" w:space="0" w:themeColor="accent5" w:themeTint="9A"/>
      </w:tblBorders>
      <w:shd w:val="clear" w:fill="FFFFFF" w:color="FFFFFF" w:themeFill="accent5" w:themeFillTint="9A"/>
    </w:tblPr>
    <w:tblStylePr w:type="band1Horz">
      <w:tcPr>
        <w:shd w:val="clear" w:fill="FFFFFF" w:color="FFFFFF" w:themeFill="accent5" w:themeFillTint="9A"/>
        <w:tcBorders>
          <w:top w:val="single" w:color="000000" w:sz="4" w:space="0" w:themeColor="light1"/>
          <w:bottom w:val="single" w:color="000000" w:sz="4" w:space="0" w:themeColor="light1"/>
        </w:tcBorders>
      </w:tcPr>
    </w:tblStylePr>
    <w:tblStylePr w:type="band1Vert">
      <w:tcPr>
        <w:shd w:val="clear" w:fill="FFFFFF" w:color="FFFFFF" w:themeFill="accent5" w:themeFillTint="9A"/>
        <w:tcBorders>
          <w:left w:val="single" w:color="000000" w:sz="4" w:space="0" w:themeColor="light1"/>
          <w:right w:val="single" w:color="000000" w:sz="4" w:space="0" w:themeColor="light1"/>
        </w:tcBorders>
      </w:tcPr>
    </w:tblStylePr>
    <w:tblStylePr w:type="band2Horz">
      <w:tcPr>
        <w:shd w:val="clear" w:fill="FFFFFF" w:color="FFFFFF" w:themeFill="accent5" w:themeFillTint="9A"/>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5" w:themeTint="9A"/>
          <w:right w:val="single" w:color="000000" w:sz="4" w:space="0" w:themeColor="light1"/>
        </w:tcBorders>
      </w:tcPr>
    </w:tblStylePr>
    <w:tblStylePr w:type="firstRow">
      <w:rPr>
        <w:rFonts w:ascii="Arial" w:hAnsi="Arial"/>
        <w:b/>
        <w:color w:val="FFFFFF" w:themeColor="light1"/>
        <w:sz w:val="22"/>
      </w:rPr>
      <w:tcPr>
        <w:shd w:val="clear" w:fill="FFFFFF" w:color="FFFFFF" w:themeFill="accent5" w:themeFillTint="9A"/>
        <w:tcBorders>
          <w:top w:val="single" w:color="000000" w:sz="32" w:space="0" w:themeColor="accent5" w:themeTint="9A"/>
          <w:bottom w:val="single" w:color="000000" w:sz="12" w:space="0" w:themeColor="light1"/>
        </w:tcBorders>
      </w:tcPr>
    </w:tblStylePr>
    <w:tblStylePr w:type="lastCol">
      <w:tcPr>
        <w:tcBorders>
          <w:left w:val="single" w:color="000000" w:sz="4" w:space="0" w:themeColor="light1"/>
          <w:right w:val="single" w:color="000000" w:sz="32" w:space="0" w:themeColor="accent5" w:themeTint="9A"/>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065">
    <w:name w:val="List Table 5 Dark - Accent 6"/>
    <w:uiPriority w:val="99"/>
    <w:pPr>
      <w:spacing w:lineRule="auto" w:line="240" w:after="0"/>
    </w:pPr>
    <w:tblPr>
      <w:tblStyleRowBandSize w:val="1"/>
      <w:tblStyleColBandSize w:val="1"/>
      <w:tblInd w:w="0" w:type="dxa"/>
      <w:tblBorders>
        <w:left w:val="single" w:color="000000" w:sz="32" w:space="0" w:themeColor="accent6" w:themeTint="98"/>
        <w:top w:val="single" w:color="000000" w:sz="32" w:space="0" w:themeColor="accent6" w:themeTint="98"/>
        <w:right w:val="single" w:color="000000" w:sz="32" w:space="0" w:themeColor="accent6" w:themeTint="98"/>
        <w:bottom w:val="single" w:color="000000" w:sz="32" w:space="0" w:themeColor="accent6" w:themeTint="98"/>
      </w:tblBorders>
      <w:shd w:val="clear" w:fill="FFFFFF" w:color="FFFFFF" w:themeFill="accent6" w:themeFillTint="98"/>
    </w:tblPr>
    <w:tblStylePr w:type="band1Horz">
      <w:tcPr>
        <w:shd w:val="clear" w:fill="FFFFFF" w:color="FFFFFF" w:themeFill="accent6" w:themeFillTint="98"/>
        <w:tcBorders>
          <w:top w:val="single" w:color="000000" w:sz="4" w:space="0" w:themeColor="light1"/>
          <w:bottom w:val="single" w:color="000000" w:sz="4" w:space="0" w:themeColor="light1"/>
        </w:tcBorders>
      </w:tcPr>
    </w:tblStylePr>
    <w:tblStylePr w:type="band1Vert">
      <w:tcPr>
        <w:shd w:val="clear" w:fill="FFFFFF" w:color="FFFFFF" w:themeFill="accent6" w:themeFillTint="98"/>
        <w:tcBorders>
          <w:left w:val="single" w:color="000000" w:sz="4" w:space="0" w:themeColor="light1"/>
          <w:right w:val="single" w:color="000000" w:sz="4" w:space="0" w:themeColor="light1"/>
        </w:tcBorders>
      </w:tcPr>
    </w:tblStylePr>
    <w:tblStylePr w:type="band2Horz">
      <w:tcPr>
        <w:shd w:val="clear" w:fill="FFFFFF" w:color="FFFFFF" w:themeFill="accent6" w:themeFillTint="98"/>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6" w:themeTint="98"/>
          <w:right w:val="single" w:color="000000" w:sz="4" w:space="0" w:themeColor="light1"/>
        </w:tcBorders>
      </w:tcPr>
    </w:tblStylePr>
    <w:tblStylePr w:type="firstRow">
      <w:rPr>
        <w:rFonts w:ascii="Arial" w:hAnsi="Arial"/>
        <w:b/>
        <w:color w:val="FFFFFF" w:themeColor="light1"/>
        <w:sz w:val="22"/>
      </w:rPr>
      <w:tcPr>
        <w:shd w:val="clear" w:fill="FFFFFF" w:color="FFFFFF" w:themeFill="accent6" w:themeFillTint="98"/>
        <w:tcBorders>
          <w:top w:val="single" w:color="000000" w:sz="32" w:space="0" w:themeColor="accent6" w:themeTint="98"/>
          <w:bottom w:val="single" w:color="000000" w:sz="12" w:space="0" w:themeColor="light1"/>
        </w:tcBorders>
      </w:tcPr>
    </w:tblStylePr>
    <w:tblStylePr w:type="lastCol">
      <w:tcPr>
        <w:tcBorders>
          <w:left w:val="single" w:color="000000" w:sz="4" w:space="0" w:themeColor="light1"/>
          <w:right w:val="single" w:color="000000" w:sz="32" w:space="0" w:themeColor="accent6" w:themeTint="98"/>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066">
    <w:name w:val="List Table 6 Colorful"/>
    <w:uiPriority w:val="99"/>
    <w:pPr>
      <w:spacing w:lineRule="auto" w:line="240" w:after="0"/>
    </w:pPr>
    <w:tblPr>
      <w:tblStyleRowBandSize w:val="1"/>
      <w:tblStyleColBandSize w:val="1"/>
      <w:tblInd w:w="0" w:type="dxa"/>
      <w:tblBorders>
        <w:top w:val="single" w:color="000000" w:sz="4" w:space="0" w:themeColor="text1" w:themeTint="80"/>
        <w:bottom w:val="single" w:color="000000" w:sz="4" w:space="0" w:themeColor="text1" w:themeTint="80"/>
      </w:tblBorders>
    </w:tblPr>
    <w:tblStylePr w:type="band1Horz">
      <w:rPr>
        <w:rFonts w:ascii="Arial" w:hAnsi="Arial"/>
        <w:color w:val="404040" w:themeColor="text1"/>
        <w:sz w:val="22"/>
      </w:rPr>
      <w:tcPr>
        <w:shd w:val="clear" w:fill="FFFFFF" w:color="FFFFFF" w:themeFill="text1" w:themeFillTint="40"/>
      </w:tcPr>
    </w:tblStylePr>
    <w:tblStylePr w:type="band1Vert">
      <w:tcPr>
        <w:shd w:val="clear" w:fill="FFFFFF" w:color="FFFFF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sz="4" w:space="0" w:themeColor="text1" w:themeTint="80"/>
        </w:tcBorders>
      </w:tcPr>
    </w:tblStylePr>
    <w:tblStylePr w:type="lastCol">
      <w:rPr>
        <w:b/>
        <w:color w:val="000000" w:themeColor="text1"/>
      </w:rPr>
    </w:tblStylePr>
    <w:tblStylePr w:type="lastRow">
      <w:rPr>
        <w:b/>
        <w:color w:val="000000" w:themeColor="text1"/>
      </w:rPr>
      <w:tcPr>
        <w:tcBorders>
          <w:top w:val="single" w:color="000000" w:sz="4" w:space="0" w:themeColor="text1" w:themeTint="80"/>
        </w:tcBorders>
      </w:tcPr>
    </w:tblStylePr>
  </w:style>
  <w:style w:type="table" w:styleId="1067">
    <w:name w:val="List Table 6 Colorful - Accent 1"/>
    <w:uiPriority w:val="99"/>
    <w:pPr>
      <w:spacing w:lineRule="auto" w:line="240" w:after="0"/>
    </w:pPr>
    <w:tblPr>
      <w:tblStyleRowBandSize w:val="1"/>
      <w:tblStyleColBandSize w:val="1"/>
      <w:tblInd w:w="0" w:type="dxa"/>
      <w:tblBorders>
        <w:top w:val="single" w:color="000000" w:sz="4" w:space="0" w:themeColor="accent1"/>
        <w:bottom w:val="single" w:color="000000" w:sz="4" w:space="0" w:themeColor="accent1"/>
      </w:tblBorders>
    </w:tblPr>
    <w:tblStylePr w:type="band1Horz">
      <w:rPr>
        <w:rFonts w:ascii="Arial" w:hAnsi="Arial"/>
        <w:color w:val="404040" w:themeColor="accent1" w:themeShade="95"/>
        <w:sz w:val="22"/>
      </w:rPr>
      <w:tcPr>
        <w:shd w:val="clear" w:fill="FFFFFF" w:color="FFFFFF" w:themeFill="accent1" w:themeFillTint="40"/>
      </w:tcPr>
    </w:tblStylePr>
    <w:tblStylePr w:type="band1Vert">
      <w:tcPr>
        <w:shd w:val="clear" w:fill="FFFFFF" w:color="FFFFFF" w:themeFill="accent1" w:themeFillTint="40"/>
      </w:tcPr>
    </w:tblStylePr>
    <w:tblStylePr w:type="band2Horz">
      <w:rPr>
        <w:rFonts w:ascii="Arial" w:hAnsi="Arial"/>
        <w:color w:val="404040" w:themeColor="accent1" w:themeShade="95"/>
        <w:sz w:val="22"/>
      </w:rPr>
    </w:tblStylePr>
    <w:tblStylePr w:type="firstCol">
      <w:rPr>
        <w:b/>
        <w:color w:val="2A4B71" w:themeColor="accent1" w:themeShade="95"/>
      </w:rPr>
    </w:tblStylePr>
    <w:tblStylePr w:type="firstRow">
      <w:rPr>
        <w:b/>
        <w:color w:val="2A4B71" w:themeColor="accent1" w:themeShade="95"/>
      </w:rPr>
      <w:tcPr>
        <w:tcBorders>
          <w:bottom w:val="single" w:color="000000" w:sz="4" w:space="0" w:themeColor="accent1"/>
        </w:tcBorders>
      </w:tcPr>
    </w:tblStylePr>
    <w:tblStylePr w:type="lastCol">
      <w:rPr>
        <w:b/>
        <w:color w:val="2A4B71" w:themeColor="accent1" w:themeShade="95"/>
      </w:rPr>
    </w:tblStylePr>
    <w:tblStylePr w:type="lastRow">
      <w:rPr>
        <w:b/>
        <w:color w:val="2A4B71" w:themeColor="accent1" w:themeShade="95"/>
      </w:rPr>
      <w:tcPr>
        <w:tcBorders>
          <w:top w:val="single" w:color="000000" w:sz="4" w:space="0" w:themeColor="accent1"/>
        </w:tcBorders>
      </w:tcPr>
    </w:tblStylePr>
  </w:style>
  <w:style w:type="table" w:styleId="1068">
    <w:name w:val="List Table 6 Colorful - Accent 2"/>
    <w:uiPriority w:val="99"/>
    <w:pPr>
      <w:spacing w:lineRule="auto" w:line="240" w:after="0"/>
    </w:pPr>
    <w:tblPr>
      <w:tblStyleRowBandSize w:val="1"/>
      <w:tblStyleColBandSize w:val="1"/>
      <w:tblInd w:w="0" w:type="dxa"/>
      <w:tblBorders>
        <w:top w:val="single" w:color="000000" w:sz="4" w:space="0" w:themeColor="accent2" w:themeTint="97"/>
        <w:bottom w:val="single" w:color="000000" w:sz="4" w:space="0" w:themeColor="accent2" w:themeTint="97"/>
      </w:tblBorders>
    </w:tblPr>
    <w:tblStylePr w:type="band1Horz">
      <w:rPr>
        <w:rFonts w:ascii="Arial" w:hAnsi="Arial"/>
        <w:color w:val="404040" w:themeColor="accent2" w:themeTint="97" w:themeShade="95"/>
        <w:sz w:val="22"/>
      </w:rPr>
      <w:tcPr>
        <w:shd w:val="clear" w:fill="FFFFFF" w:color="FFFFFF" w:themeFill="accent2" w:themeFillTint="40"/>
      </w:tcPr>
    </w:tblStylePr>
    <w:tblStylePr w:type="band1Vert">
      <w:tcPr>
        <w:shd w:val="clear" w:fill="FFFFFF" w:color="FFFFFF" w:themeFill="accent2" w:themeFillTint="40"/>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sz="4" w:space="0" w:themeColor="accent2" w:themeTint="97"/>
        </w:tcBorders>
      </w:tcPr>
    </w:tblStylePr>
    <w:tblStylePr w:type="lastCol">
      <w:rPr>
        <w:b/>
        <w:color w:val="9C3A37" w:themeColor="accent2" w:themeTint="97" w:themeShade="95"/>
      </w:rPr>
    </w:tblStylePr>
    <w:tblStylePr w:type="lastRow">
      <w:rPr>
        <w:b/>
        <w:color w:val="9C3A37" w:themeColor="accent2" w:themeTint="97" w:themeShade="95"/>
      </w:rPr>
      <w:tcPr>
        <w:tcBorders>
          <w:top w:val="single" w:color="000000" w:sz="4" w:space="0" w:themeColor="accent2" w:themeTint="97"/>
        </w:tcBorders>
      </w:tcPr>
    </w:tblStylePr>
  </w:style>
  <w:style w:type="table" w:styleId="1069">
    <w:name w:val="List Table 6 Colorful - Accent 3"/>
    <w:uiPriority w:val="99"/>
    <w:pPr>
      <w:spacing w:lineRule="auto" w:line="240" w:after="0"/>
    </w:pPr>
    <w:tblPr>
      <w:tblStyleRowBandSize w:val="1"/>
      <w:tblStyleColBandSize w:val="1"/>
      <w:tblInd w:w="0" w:type="dxa"/>
      <w:tblBorders>
        <w:top w:val="single" w:color="000000" w:sz="4" w:space="0" w:themeColor="accent3" w:themeTint="98"/>
        <w:bottom w:val="single" w:color="000000" w:sz="4" w:space="0" w:themeColor="accent3" w:themeTint="98"/>
      </w:tblBorders>
    </w:tblPr>
    <w:tblStylePr w:type="band1Horz">
      <w:rPr>
        <w:rFonts w:ascii="Arial" w:hAnsi="Arial"/>
        <w:color w:val="404040" w:themeColor="accent3" w:themeTint="98" w:themeShade="95"/>
        <w:sz w:val="22"/>
      </w:rPr>
      <w:tcPr>
        <w:shd w:val="clear" w:fill="FFFFFF" w:color="FFFFFF" w:themeFill="accent3" w:themeFillTint="40"/>
      </w:tcPr>
    </w:tblStylePr>
    <w:tblStylePr w:type="band1Vert">
      <w:tcPr>
        <w:shd w:val="clear" w:fill="FFFFFF" w:color="FFFFFF" w:themeFill="accent3" w:themeFillTint="40"/>
      </w:tcPr>
    </w:tblStylePr>
    <w:tblStylePr w:type="band2Horz">
      <w:rPr>
        <w:rFonts w:ascii="Arial" w:hAnsi="Arial"/>
        <w:color w:val="404040" w:themeColor="accent3" w:themeTint="98" w:themeShade="95"/>
        <w:sz w:val="22"/>
      </w:rPr>
    </w:tblStylePr>
    <w:tblStylePr w:type="firstCol">
      <w:rPr>
        <w:b/>
        <w:color w:val="7C983F" w:themeColor="accent3" w:themeTint="98" w:themeShade="95"/>
      </w:rPr>
    </w:tblStylePr>
    <w:tblStylePr w:type="firstRow">
      <w:rPr>
        <w:b/>
        <w:color w:val="7C983F" w:themeColor="accent3" w:themeTint="98" w:themeShade="95"/>
      </w:rPr>
      <w:tcPr>
        <w:tcBorders>
          <w:bottom w:val="single" w:color="000000" w:sz="4" w:space="0" w:themeColor="accent3" w:themeTint="98"/>
        </w:tcBorders>
      </w:tcPr>
    </w:tblStylePr>
    <w:tblStylePr w:type="lastCol">
      <w:rPr>
        <w:b/>
        <w:color w:val="7C983F" w:themeColor="accent3" w:themeTint="98" w:themeShade="95"/>
      </w:rPr>
    </w:tblStylePr>
    <w:tblStylePr w:type="lastRow">
      <w:rPr>
        <w:b/>
        <w:color w:val="7C983F" w:themeColor="accent3" w:themeTint="98" w:themeShade="95"/>
      </w:rPr>
      <w:tcPr>
        <w:tcBorders>
          <w:top w:val="single" w:color="000000" w:sz="4" w:space="0" w:themeColor="accent3" w:themeTint="98"/>
        </w:tcBorders>
      </w:tcPr>
    </w:tblStylePr>
  </w:style>
  <w:style w:type="table" w:styleId="1070">
    <w:name w:val="List Table 6 Colorful - Accent 4"/>
    <w:uiPriority w:val="99"/>
    <w:pPr>
      <w:spacing w:lineRule="auto" w:line="240" w:after="0"/>
    </w:pPr>
    <w:tblPr>
      <w:tblStyleRowBandSize w:val="1"/>
      <w:tblStyleColBandSize w:val="1"/>
      <w:tblInd w:w="0" w:type="dxa"/>
      <w:tblBorders>
        <w:top w:val="single" w:color="000000" w:sz="4" w:space="0" w:themeColor="accent4" w:themeTint="9A"/>
        <w:bottom w:val="single" w:color="000000" w:sz="4" w:space="0" w:themeColor="accent4" w:themeTint="9A"/>
      </w:tblBorders>
    </w:tblPr>
    <w:tblStylePr w:type="band1Horz">
      <w:rPr>
        <w:rFonts w:ascii="Arial" w:hAnsi="Arial"/>
        <w:color w:val="404040" w:themeColor="accent4" w:themeTint="9A" w:themeShade="95"/>
        <w:sz w:val="22"/>
      </w:rPr>
      <w:tcPr>
        <w:shd w:val="clear" w:fill="FFFFFF" w:color="FFFFFF" w:themeFill="accent4" w:themeFillTint="40"/>
      </w:tcPr>
    </w:tblStylePr>
    <w:tblStylePr w:type="band1Vert">
      <w:tcPr>
        <w:shd w:val="clear" w:fill="FFFFFF" w:color="FFFFFF" w:themeFill="accent4" w:themeFillTint="40"/>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sz="4" w:space="0" w:themeColor="accent4" w:themeTint="9A"/>
        </w:tcBorders>
      </w:tcPr>
    </w:tblStylePr>
    <w:tblStylePr w:type="lastCol">
      <w:rPr>
        <w:b/>
        <w:color w:val="664F82" w:themeColor="accent4" w:themeTint="9A" w:themeShade="95"/>
      </w:rPr>
    </w:tblStylePr>
    <w:tblStylePr w:type="lastRow">
      <w:rPr>
        <w:b/>
        <w:color w:val="664F82" w:themeColor="accent4" w:themeTint="9A" w:themeShade="95"/>
      </w:rPr>
      <w:tcPr>
        <w:tcBorders>
          <w:top w:val="single" w:color="000000" w:sz="4" w:space="0" w:themeColor="accent4" w:themeTint="9A"/>
        </w:tcBorders>
      </w:tcPr>
    </w:tblStylePr>
  </w:style>
  <w:style w:type="table" w:styleId="1071">
    <w:name w:val="List Table 6 Colorful - Accent 5"/>
    <w:uiPriority w:val="99"/>
    <w:pPr>
      <w:spacing w:lineRule="auto" w:line="240" w:after="0"/>
    </w:pPr>
    <w:tblPr>
      <w:tblStyleRowBandSize w:val="1"/>
      <w:tblStyleColBandSize w:val="1"/>
      <w:tblInd w:w="0" w:type="dxa"/>
      <w:tblBorders>
        <w:top w:val="single" w:color="000000" w:sz="4" w:space="0" w:themeColor="accent5" w:themeTint="9A"/>
        <w:bottom w:val="single" w:color="000000" w:sz="4" w:space="0" w:themeColor="accent5" w:themeTint="9A"/>
      </w:tblBorders>
    </w:tblPr>
    <w:tblStylePr w:type="band1Horz">
      <w:rPr>
        <w:rFonts w:ascii="Arial" w:hAnsi="Arial"/>
        <w:color w:val="404040" w:themeColor="accent5" w:themeTint="9A" w:themeShade="95"/>
        <w:sz w:val="22"/>
      </w:rPr>
      <w:tcPr>
        <w:shd w:val="clear" w:fill="FFFFFF" w:color="FFFFFF" w:themeFill="accent5" w:themeFillTint="40"/>
      </w:tcPr>
    </w:tblStylePr>
    <w:tblStylePr w:type="band1Vert">
      <w:tcPr>
        <w:shd w:val="clear" w:fill="FFFFFF" w:color="FFFFFF" w:themeFill="accent5" w:themeFillTint="40"/>
      </w:tcPr>
    </w:tblStylePr>
    <w:tblStylePr w:type="band2Horz">
      <w:rPr>
        <w:rFonts w:ascii="Arial" w:hAnsi="Arial"/>
        <w:color w:val="404040" w:themeColor="accent5" w:themeTint="9A" w:themeShade="95"/>
        <w:sz w:val="22"/>
      </w:rPr>
    </w:tblStylePr>
    <w:tblStylePr w:type="firstCol">
      <w:rPr>
        <w:b/>
        <w:color w:val="338AA0" w:themeColor="accent5" w:themeTint="9A" w:themeShade="95"/>
      </w:rPr>
    </w:tblStylePr>
    <w:tblStylePr w:type="firstRow">
      <w:rPr>
        <w:b/>
        <w:color w:val="338AA0" w:themeColor="accent5" w:themeTint="9A" w:themeShade="95"/>
      </w:rPr>
      <w:tcPr>
        <w:tcBorders>
          <w:bottom w:val="single" w:color="000000" w:sz="4" w:space="0" w:themeColor="accent5" w:themeTint="9A"/>
        </w:tcBorders>
      </w:tcPr>
    </w:tblStylePr>
    <w:tblStylePr w:type="lastCol">
      <w:rPr>
        <w:b/>
        <w:color w:val="338AA0" w:themeColor="accent5" w:themeTint="9A" w:themeShade="95"/>
      </w:rPr>
    </w:tblStylePr>
    <w:tblStylePr w:type="lastRow">
      <w:rPr>
        <w:b/>
        <w:color w:val="338AA0" w:themeColor="accent5" w:themeTint="9A" w:themeShade="95"/>
      </w:rPr>
      <w:tcPr>
        <w:tcBorders>
          <w:top w:val="single" w:color="000000" w:sz="4" w:space="0" w:themeColor="accent5" w:themeTint="9A"/>
        </w:tcBorders>
      </w:tcPr>
    </w:tblStylePr>
  </w:style>
  <w:style w:type="table" w:styleId="1072">
    <w:name w:val="List Table 6 Colorful - Accent 6"/>
    <w:uiPriority w:val="99"/>
    <w:pPr>
      <w:spacing w:lineRule="auto" w:line="240" w:after="0"/>
    </w:pPr>
    <w:tblPr>
      <w:tblStyleRowBandSize w:val="1"/>
      <w:tblStyleColBandSize w:val="1"/>
      <w:tblInd w:w="0" w:type="dxa"/>
      <w:tblBorders>
        <w:top w:val="single" w:color="000000" w:sz="4" w:space="0" w:themeColor="accent6" w:themeTint="98"/>
        <w:bottom w:val="single" w:color="000000" w:sz="4" w:space="0" w:themeColor="accent6" w:themeTint="98"/>
      </w:tblBorders>
    </w:tblPr>
    <w:tblStylePr w:type="band1Horz">
      <w:rPr>
        <w:rFonts w:ascii="Arial" w:hAnsi="Arial"/>
        <w:color w:val="404040" w:themeColor="accent6" w:themeTint="98" w:themeShade="95"/>
        <w:sz w:val="22"/>
      </w:rPr>
      <w:tcPr>
        <w:shd w:val="clear" w:fill="FFFFFF" w:color="FFFFFF" w:themeFill="accent6" w:themeFillTint="40"/>
      </w:tcPr>
    </w:tblStylePr>
    <w:tblStylePr w:type="band1Vert">
      <w:tcPr>
        <w:shd w:val="clear" w:fill="FFFFFF" w:color="FFFFFF" w:themeFill="accent6" w:themeFillTint="40"/>
      </w:tcPr>
    </w:tblStylePr>
    <w:tblStylePr w:type="band2Horz">
      <w:rPr>
        <w:rFonts w:ascii="Arial" w:hAnsi="Arial"/>
        <w:color w:val="404040" w:themeColor="accent6" w:themeTint="98" w:themeShade="95"/>
        <w:sz w:val="22"/>
      </w:rPr>
    </w:tblStylePr>
    <w:tblStylePr w:type="firstCol">
      <w:rPr>
        <w:b/>
        <w:color w:val="D9680C" w:themeColor="accent6" w:themeTint="98" w:themeShade="95"/>
      </w:rPr>
    </w:tblStylePr>
    <w:tblStylePr w:type="firstRow">
      <w:rPr>
        <w:b/>
        <w:color w:val="D9680C" w:themeColor="accent6" w:themeTint="98" w:themeShade="95"/>
      </w:rPr>
      <w:tcPr>
        <w:tcBorders>
          <w:bottom w:val="single" w:color="000000" w:sz="4" w:space="0" w:themeColor="accent6" w:themeTint="98"/>
        </w:tcBorders>
      </w:tcPr>
    </w:tblStylePr>
    <w:tblStylePr w:type="lastCol">
      <w:rPr>
        <w:b/>
        <w:color w:val="D9680C" w:themeColor="accent6" w:themeTint="98" w:themeShade="95"/>
      </w:rPr>
    </w:tblStylePr>
    <w:tblStylePr w:type="lastRow">
      <w:rPr>
        <w:b/>
        <w:color w:val="D9680C" w:themeColor="accent6" w:themeTint="98" w:themeShade="95"/>
      </w:rPr>
      <w:tcPr>
        <w:tcBorders>
          <w:top w:val="single" w:color="000000" w:sz="4" w:space="0" w:themeColor="accent6" w:themeTint="98"/>
        </w:tcBorders>
      </w:tcPr>
    </w:tblStylePr>
  </w:style>
  <w:style w:type="table" w:styleId="1073">
    <w:name w:val="List Table 7 Colorful"/>
    <w:uiPriority w:val="99"/>
    <w:pPr>
      <w:spacing w:lineRule="auto" w:line="240" w:after="0"/>
    </w:pPr>
    <w:tblPr>
      <w:tblStyleRowBandSize w:val="1"/>
      <w:tblStyleColBandSize w:val="1"/>
      <w:tblInd w:w="0" w:type="dxa"/>
      <w:tblBorders>
        <w:right w:val="single" w:color="000000" w:sz="4" w:space="0" w:themeColor="text1" w:themeTint="80"/>
      </w:tblBorders>
    </w:tblPr>
    <w:tblStylePr w:type="band1Horz">
      <w:rPr>
        <w:rFonts w:ascii="Arial" w:hAnsi="Arial"/>
        <w:color w:val="4A4A4A" w:themeColor="text1" w:themeTint="80" w:themeShade="95"/>
        <w:sz w:val="22"/>
      </w:rPr>
      <w:tcPr>
        <w:shd w:val="clear" w:fill="FFFFFF" w:color="FFFFFF" w:themeFill="text1" w:themeFillTint="40"/>
      </w:tcPr>
    </w:tblStylePr>
    <w:tblStylePr w:type="band1Vert">
      <w:tcPr>
        <w:shd w:val="clear" w:fill="FFFFFF" w:color="FFFFF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fill="FFFFFF" w:color="FFFFFF"/>
        <w:tcBorders>
          <w:left w:val="none" w:color="000000" w:sz="4" w:space="0"/>
          <w:top w:val="none" w:color="000000" w:sz="4" w:space="0"/>
          <w:right w:val="single" w:color="000000" w:sz="4" w:space="0" w:themeColor="text1" w:themeTint="80"/>
          <w:bottom w:val="none" w:color="000000" w:sz="4" w:space="0"/>
        </w:tcBorders>
      </w:tcPr>
    </w:tblStylePr>
    <w:tblStylePr w:type="firstRow">
      <w:rPr>
        <w:rFonts w:ascii="Arial" w:hAnsi="Arial"/>
        <w:i/>
        <w:color w:val="4A4A4A" w:themeColor="text1" w:themeTint="80" w:themeShade="95"/>
        <w:sz w:val="22"/>
      </w:rPr>
      <w:tcPr>
        <w:shd w:val="clear" w:fill="FFFFFF" w:color="FFFFFF" w:themeFill="light1"/>
        <w:tcBorders>
          <w:left w:val="none" w:color="000000" w:sz="4" w:space="0"/>
          <w:top w:val="none" w:color="000000" w:sz="4" w:space="0"/>
          <w:right w:val="none" w:color="000000" w:sz="4" w:space="0"/>
          <w:bottom w:val="single" w:color="000000" w:sz="4" w:space="0" w:themeColor="text1" w:themeTint="80"/>
        </w:tcBorders>
      </w:tcPr>
    </w:tblStylePr>
    <w:tblStylePr w:type="lastCol">
      <w:rPr>
        <w:rFonts w:ascii="Arial" w:hAnsi="Arial"/>
        <w:i/>
        <w:color w:val="4A4A4A" w:themeColor="text1" w:themeTint="80" w:themeShade="95"/>
        <w:sz w:val="22"/>
      </w:rPr>
      <w:tcPr>
        <w:shd w:val="clear" w:fill="FFFFFF" w:color="FFFFFF"/>
        <w:tcBorders>
          <w:left w:val="single" w:color="000000" w:sz="4" w:space="0" w:themeColor="text1" w:themeTint="80"/>
          <w:top w:val="none" w:color="000000" w:sz="4" w:space="0"/>
          <w:right w:val="none" w:color="000000" w:sz="4" w:space="0"/>
          <w:bottom w:val="none" w:color="000000" w:sz="4" w:space="0"/>
        </w:tcBorders>
      </w:tcPr>
    </w:tblStylePr>
    <w:tblStylePr w:type="lastRow">
      <w:rPr>
        <w:rFonts w:ascii="Arial" w:hAnsi="Arial"/>
        <w:i/>
        <w:color w:val="4A4A4A" w:themeColor="text1" w:themeTint="80" w:themeShade="95"/>
        <w:sz w:val="22"/>
      </w:rPr>
      <w:tcPr>
        <w:shd w:val="clear" w:fill="FFFFFF" w:color="FFFFFF" w:themeFill="light1"/>
        <w:tcBorders>
          <w:left w:val="none" w:color="000000" w:sz="4" w:space="0"/>
          <w:top w:val="single" w:color="000000" w:sz="4" w:space="0" w:themeColor="text1" w:themeTint="80"/>
          <w:right w:val="none" w:color="000000" w:sz="4" w:space="0"/>
          <w:bottom w:val="none" w:color="000000" w:sz="4" w:space="0"/>
        </w:tcBorders>
      </w:tcPr>
    </w:tblStylePr>
    <w:tblStylePr w:type="wholeTable">
      <w:rPr>
        <w:rFonts w:ascii="Arial" w:hAnsi="Arial"/>
        <w:color w:val="4A4A4A" w:themeColor="text1" w:themeTint="80" w:themeShade="95"/>
        <w:sz w:val="22"/>
      </w:rPr>
    </w:tblStylePr>
  </w:style>
  <w:style w:type="table" w:styleId="1074">
    <w:name w:val="List Table 7 Colorful - Accent 1"/>
    <w:uiPriority w:val="99"/>
    <w:pPr>
      <w:spacing w:lineRule="auto" w:line="240" w:after="0"/>
    </w:pPr>
    <w:tblPr>
      <w:tblStyleRowBandSize w:val="1"/>
      <w:tblStyleColBandSize w:val="1"/>
      <w:tblInd w:w="0" w:type="dxa"/>
      <w:tblBorders>
        <w:right w:val="single" w:color="000000" w:sz="4" w:space="0" w:themeColor="accent1"/>
      </w:tblBorders>
    </w:tblPr>
    <w:tblStylePr w:type="band1Horz">
      <w:rPr>
        <w:rFonts w:ascii="Arial" w:hAnsi="Arial"/>
        <w:color w:val="2A4B71" w:themeColor="accent1" w:themeShade="95"/>
        <w:sz w:val="22"/>
      </w:rPr>
      <w:tcPr>
        <w:shd w:val="clear" w:fill="FFFFFF" w:color="FFFFFF" w:themeFill="accent1" w:themeFillTint="40"/>
      </w:tcPr>
    </w:tblStylePr>
    <w:tblStylePr w:type="band1Vert">
      <w:tcPr>
        <w:shd w:val="clear" w:fill="FFFFFF" w:color="FFFFFF" w:themeFill="accent1" w:themeFillTint="40"/>
      </w:tcPr>
    </w:tblStylePr>
    <w:tblStylePr w:type="band2Horz">
      <w:rPr>
        <w:rFonts w:ascii="Arial" w:hAnsi="Arial"/>
        <w:color w:val="2A4B71" w:themeColor="accent1" w:themeShade="95"/>
        <w:sz w:val="22"/>
      </w:rPr>
    </w:tblStylePr>
    <w:tblStylePr w:type="firstCol">
      <w:rPr>
        <w:rFonts w:ascii="Arial" w:hAnsi="Arial"/>
        <w:i/>
        <w:color w:val="2A4B71" w:themeColor="accent1" w:themeShade="95"/>
        <w:sz w:val="22"/>
      </w:rPr>
      <w:pPr>
        <w:jc w:val="right"/>
      </w:pPr>
      <w:tcPr>
        <w:shd w:val="clear" w:fill="FFFFFF" w:color="FFFFFF"/>
        <w:tcBorders>
          <w:left w:val="none" w:color="000000" w:sz="4" w:space="0"/>
          <w:top w:val="none" w:color="000000" w:sz="4" w:space="0"/>
          <w:right w:val="single" w:color="000000" w:sz="4" w:space="0" w:themeColor="accent1"/>
          <w:bottom w:val="none" w:color="000000" w:sz="4" w:space="0"/>
        </w:tcBorders>
      </w:tcPr>
    </w:tblStylePr>
    <w:tblStylePr w:type="firstRow">
      <w:rPr>
        <w:rFonts w:ascii="Arial" w:hAnsi="Arial"/>
        <w:i/>
        <w:color w:val="2A4B71" w:themeColor="accent1" w:themeShade="95"/>
        <w:sz w:val="22"/>
      </w:rPr>
      <w:tcPr>
        <w:shd w:val="clear" w:fill="FFFFFF" w:color="FFFFFF" w:themeFill="light1"/>
        <w:tcBorders>
          <w:left w:val="none" w:color="000000" w:sz="4" w:space="0"/>
          <w:top w:val="none" w:color="000000" w:sz="4" w:space="0"/>
          <w:right w:val="none" w:color="000000" w:sz="4" w:space="0"/>
          <w:bottom w:val="single" w:color="000000" w:sz="4" w:space="0" w:themeColor="accent1"/>
        </w:tcBorders>
      </w:tcPr>
    </w:tblStylePr>
    <w:tblStylePr w:type="lastCol">
      <w:rPr>
        <w:rFonts w:ascii="Arial" w:hAnsi="Arial"/>
        <w:i/>
        <w:color w:val="2A4B71" w:themeColor="accent1" w:themeShade="95"/>
        <w:sz w:val="22"/>
      </w:rPr>
      <w:tcPr>
        <w:shd w:val="clear" w:fill="FFFFFF" w:color="FFFFFF"/>
        <w:tcBorders>
          <w:left w:val="single" w:color="000000" w:sz="4" w:space="0" w:themeColor="accent1"/>
          <w:top w:val="none" w:color="000000" w:sz="4" w:space="0"/>
          <w:right w:val="none" w:color="000000" w:sz="4" w:space="0"/>
          <w:bottom w:val="none" w:color="000000" w:sz="4" w:space="0"/>
        </w:tcBorders>
      </w:tcPr>
    </w:tblStylePr>
    <w:tblStylePr w:type="lastRow">
      <w:rPr>
        <w:rFonts w:ascii="Arial" w:hAnsi="Arial"/>
        <w:i/>
        <w:color w:val="2A4B71" w:themeColor="accent1" w:themeShade="95"/>
        <w:sz w:val="22"/>
      </w:rPr>
      <w:tcPr>
        <w:shd w:val="clear" w:fill="FFFFFF" w:color="FFFFFF" w:themeFill="light1"/>
        <w:tcBorders>
          <w:left w:val="none" w:color="000000" w:sz="4" w:space="0"/>
          <w:top w:val="single" w:color="000000" w:sz="4" w:space="0" w:themeColor="accent1"/>
          <w:right w:val="none" w:color="000000" w:sz="4" w:space="0"/>
          <w:bottom w:val="none" w:color="000000" w:sz="4" w:space="0"/>
        </w:tcBorders>
      </w:tcPr>
    </w:tblStylePr>
    <w:tblStylePr w:type="wholeTable">
      <w:rPr>
        <w:rFonts w:ascii="Arial" w:hAnsi="Arial"/>
        <w:color w:val="2A4B71" w:themeColor="accent1" w:themeShade="95"/>
        <w:sz w:val="22"/>
      </w:rPr>
    </w:tblStylePr>
  </w:style>
  <w:style w:type="table" w:styleId="1075">
    <w:name w:val="List Table 7 Colorful - Accent 2"/>
    <w:uiPriority w:val="99"/>
    <w:pPr>
      <w:spacing w:lineRule="auto" w:line="240" w:after="0"/>
    </w:pPr>
    <w:tblPr>
      <w:tblStyleRowBandSize w:val="1"/>
      <w:tblStyleColBandSize w:val="1"/>
      <w:tblInd w:w="0" w:type="dxa"/>
      <w:tblBorders>
        <w:right w:val="single" w:color="000000" w:sz="4" w:space="0" w:themeColor="accent2" w:themeTint="97"/>
      </w:tblBorders>
    </w:tblPr>
    <w:tblStylePr w:type="band1Horz">
      <w:rPr>
        <w:rFonts w:ascii="Arial" w:hAnsi="Arial"/>
        <w:color w:val="9C3A37" w:themeColor="accent2" w:themeTint="97" w:themeShade="95"/>
        <w:sz w:val="22"/>
      </w:rPr>
      <w:tcPr>
        <w:shd w:val="clear" w:fill="FFFFFF" w:color="FFFFFF" w:themeFill="accent2" w:themeFillTint="40"/>
      </w:tcPr>
    </w:tblStylePr>
    <w:tblStylePr w:type="band1Vert">
      <w:tcPr>
        <w:shd w:val="clear" w:fill="FFFFFF" w:color="FFFFFF" w:themeFill="accent2" w:themeFillTint="40"/>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val="clear" w:fill="FFFFFF" w:color="FFFFFF"/>
        <w:tcBorders>
          <w:left w:val="none" w:color="000000" w:sz="4" w:space="0"/>
          <w:top w:val="none" w:color="000000" w:sz="4" w:space="0"/>
          <w:right w:val="single" w:color="000000" w:sz="4" w:space="0" w:themeColor="accent2" w:themeTint="97"/>
          <w:bottom w:val="none" w:color="000000" w:sz="4" w:space="0"/>
        </w:tcBorders>
      </w:tcPr>
    </w:tblStylePr>
    <w:tblStylePr w:type="firstRow">
      <w:rPr>
        <w:rFonts w:ascii="Arial" w:hAnsi="Arial"/>
        <w:i/>
        <w:color w:val="9C3A37" w:themeColor="accent2" w:themeTint="97" w:themeShade="95"/>
        <w:sz w:val="22"/>
      </w:rPr>
      <w:tcPr>
        <w:shd w:val="clear" w:fill="FFFFFF" w:color="FFFFFF" w:themeFill="light1"/>
        <w:tcBorders>
          <w:left w:val="none" w:color="000000" w:sz="4" w:space="0"/>
          <w:top w:val="none" w:color="000000" w:sz="4" w:space="0"/>
          <w:right w:val="none" w:color="000000" w:sz="4" w:space="0"/>
          <w:bottom w:val="single" w:color="000000" w:sz="4" w:space="0" w:themeColor="accent2" w:themeTint="97"/>
        </w:tcBorders>
      </w:tcPr>
    </w:tblStylePr>
    <w:tblStylePr w:type="lastCol">
      <w:rPr>
        <w:rFonts w:ascii="Arial" w:hAnsi="Arial"/>
        <w:i/>
        <w:color w:val="9C3A37" w:themeColor="accent2" w:themeTint="97" w:themeShade="95"/>
        <w:sz w:val="22"/>
      </w:rPr>
      <w:tcPr>
        <w:shd w:val="clear" w:fill="FFFFFF" w:color="FFFFFF"/>
        <w:tcBorders>
          <w:left w:val="single" w:color="000000" w:sz="4" w:space="0" w:themeColor="accent2" w:themeTint="97"/>
          <w:top w:val="none" w:color="000000" w:sz="4" w:space="0"/>
          <w:right w:val="none" w:color="000000" w:sz="4" w:space="0"/>
          <w:bottom w:val="none" w:color="000000" w:sz="4" w:space="0"/>
        </w:tcBorders>
      </w:tcPr>
    </w:tblStylePr>
    <w:tblStylePr w:type="lastRow">
      <w:rPr>
        <w:rFonts w:ascii="Arial" w:hAnsi="Arial"/>
        <w:i/>
        <w:color w:val="9C3A37" w:themeColor="accent2" w:themeTint="97" w:themeShade="95"/>
        <w:sz w:val="22"/>
      </w:rPr>
      <w:tcPr>
        <w:shd w:val="clear" w:fill="FFFFFF" w:color="FFFFFF" w:themeFill="light1"/>
        <w:tcBorders>
          <w:left w:val="none" w:color="000000" w:sz="4" w:space="0"/>
          <w:top w:val="single" w:color="000000" w:sz="4" w:space="0" w:themeColor="accent2" w:themeTint="97"/>
          <w:right w:val="none" w:color="000000" w:sz="4" w:space="0"/>
          <w:bottom w:val="none" w:color="000000" w:sz="4" w:space="0"/>
        </w:tcBorders>
      </w:tcPr>
    </w:tblStylePr>
    <w:tblStylePr w:type="wholeTable">
      <w:rPr>
        <w:rFonts w:ascii="Arial" w:hAnsi="Arial"/>
        <w:color w:val="9C3A37" w:themeColor="accent2" w:themeTint="97" w:themeShade="95"/>
        <w:sz w:val="22"/>
      </w:rPr>
    </w:tblStylePr>
  </w:style>
  <w:style w:type="table" w:styleId="1076">
    <w:name w:val="List Table 7 Colorful - Accent 3"/>
    <w:uiPriority w:val="99"/>
    <w:pPr>
      <w:spacing w:lineRule="auto" w:line="240" w:after="0"/>
    </w:pPr>
    <w:tblPr>
      <w:tblStyleRowBandSize w:val="1"/>
      <w:tblStyleColBandSize w:val="1"/>
      <w:tblInd w:w="0" w:type="dxa"/>
      <w:tblBorders>
        <w:right w:val="single" w:color="000000" w:sz="4" w:space="0" w:themeColor="accent3" w:themeTint="98"/>
      </w:tblBorders>
    </w:tblPr>
    <w:tblStylePr w:type="band1Horz">
      <w:rPr>
        <w:rFonts w:ascii="Arial" w:hAnsi="Arial"/>
        <w:color w:val="7C983F" w:themeColor="accent3" w:themeTint="98" w:themeShade="95"/>
        <w:sz w:val="22"/>
      </w:rPr>
      <w:tcPr>
        <w:shd w:val="clear" w:fill="FFFFFF" w:color="FFFFFF" w:themeFill="accent3" w:themeFillTint="40"/>
      </w:tcPr>
    </w:tblStylePr>
    <w:tblStylePr w:type="band1Vert">
      <w:tcPr>
        <w:shd w:val="clear" w:fill="FFFFFF" w:color="FFFFFF" w:themeFill="accent3" w:themeFillTint="40"/>
      </w:tcPr>
    </w:tblStylePr>
    <w:tblStylePr w:type="band2Horz">
      <w:rPr>
        <w:rFonts w:ascii="Arial" w:hAnsi="Arial"/>
        <w:color w:val="7C983F" w:themeColor="accent3" w:themeTint="98" w:themeShade="95"/>
        <w:sz w:val="22"/>
      </w:rPr>
    </w:tblStylePr>
    <w:tblStylePr w:type="firstCol">
      <w:rPr>
        <w:rFonts w:ascii="Arial" w:hAnsi="Arial"/>
        <w:i/>
        <w:color w:val="7C983F" w:themeColor="accent3" w:themeTint="98" w:themeShade="95"/>
        <w:sz w:val="22"/>
      </w:rPr>
      <w:pPr>
        <w:jc w:val="right"/>
      </w:pPr>
      <w:tcPr>
        <w:shd w:val="clear" w:fill="FFFFFF" w:color="FFFFFF"/>
        <w:tcBorders>
          <w:left w:val="none" w:color="000000" w:sz="4" w:space="0"/>
          <w:top w:val="none" w:color="000000" w:sz="4" w:space="0"/>
          <w:right w:val="single" w:color="000000" w:sz="4" w:space="0" w:themeColor="accent3" w:themeTint="98"/>
          <w:bottom w:val="none" w:color="000000" w:sz="4" w:space="0"/>
        </w:tcBorders>
      </w:tcPr>
    </w:tblStylePr>
    <w:tblStylePr w:type="firstRow">
      <w:rPr>
        <w:rFonts w:ascii="Arial" w:hAnsi="Arial"/>
        <w:i/>
        <w:color w:val="7C983F" w:themeColor="accent3" w:themeTint="98" w:themeShade="95"/>
        <w:sz w:val="22"/>
      </w:rPr>
      <w:tcPr>
        <w:shd w:val="clear" w:fill="FFFFFF" w:color="FFFFFF" w:themeFill="light1"/>
        <w:tcBorders>
          <w:left w:val="none" w:color="000000" w:sz="4" w:space="0"/>
          <w:top w:val="none" w:color="000000" w:sz="4" w:space="0"/>
          <w:right w:val="none" w:color="000000" w:sz="4" w:space="0"/>
          <w:bottom w:val="single" w:color="000000" w:sz="4" w:space="0" w:themeColor="accent3" w:themeTint="98"/>
        </w:tcBorders>
      </w:tcPr>
    </w:tblStylePr>
    <w:tblStylePr w:type="lastCol">
      <w:rPr>
        <w:rFonts w:ascii="Arial" w:hAnsi="Arial"/>
        <w:i/>
        <w:color w:val="7C983F" w:themeColor="accent3" w:themeTint="98" w:themeShade="95"/>
        <w:sz w:val="22"/>
      </w:rPr>
      <w:tcPr>
        <w:shd w:val="clear" w:fill="FFFFFF" w:color="FFFFFF"/>
        <w:tcBorders>
          <w:left w:val="single" w:color="000000" w:sz="4" w:space="0" w:themeColor="accent3" w:themeTint="98"/>
          <w:top w:val="none" w:color="000000" w:sz="4" w:space="0"/>
          <w:right w:val="none" w:color="000000" w:sz="4" w:space="0"/>
          <w:bottom w:val="none" w:color="000000" w:sz="4" w:space="0"/>
        </w:tcBorders>
      </w:tcPr>
    </w:tblStylePr>
    <w:tblStylePr w:type="lastRow">
      <w:rPr>
        <w:rFonts w:ascii="Arial" w:hAnsi="Arial"/>
        <w:i/>
        <w:color w:val="7C983F" w:themeColor="accent3" w:themeTint="98" w:themeShade="95"/>
        <w:sz w:val="22"/>
      </w:rPr>
      <w:tcPr>
        <w:shd w:val="clear" w:fill="FFFFFF" w:color="FFFFFF" w:themeFill="light1"/>
        <w:tcBorders>
          <w:left w:val="none" w:color="000000" w:sz="4" w:space="0"/>
          <w:top w:val="single" w:color="000000" w:sz="4" w:space="0" w:themeColor="accent3" w:themeTint="98"/>
          <w:right w:val="none" w:color="000000" w:sz="4" w:space="0"/>
          <w:bottom w:val="none" w:color="000000" w:sz="4" w:space="0"/>
        </w:tcBorders>
      </w:tcPr>
    </w:tblStylePr>
    <w:tblStylePr w:type="wholeTable">
      <w:rPr>
        <w:rFonts w:ascii="Arial" w:hAnsi="Arial"/>
        <w:color w:val="7C983F" w:themeColor="accent3" w:themeTint="98" w:themeShade="95"/>
        <w:sz w:val="22"/>
      </w:rPr>
    </w:tblStylePr>
  </w:style>
  <w:style w:type="table" w:styleId="1077">
    <w:name w:val="List Table 7 Colorful - Accent 4"/>
    <w:uiPriority w:val="99"/>
    <w:pPr>
      <w:spacing w:lineRule="auto" w:line="240" w:after="0"/>
    </w:pPr>
    <w:tblPr>
      <w:tblStyleRowBandSize w:val="1"/>
      <w:tblStyleColBandSize w:val="1"/>
      <w:tblInd w:w="0" w:type="dxa"/>
      <w:tblBorders>
        <w:right w:val="single" w:color="000000" w:sz="4" w:space="0" w:themeColor="accent4" w:themeTint="9A"/>
      </w:tblBorders>
    </w:tblPr>
    <w:tblStylePr w:type="band1Horz">
      <w:rPr>
        <w:rFonts w:ascii="Arial" w:hAnsi="Arial"/>
        <w:color w:val="664F82" w:themeColor="accent4" w:themeTint="9A" w:themeShade="95"/>
        <w:sz w:val="22"/>
      </w:rPr>
      <w:tcPr>
        <w:shd w:val="clear" w:fill="FFFFFF" w:color="FFFFFF" w:themeFill="accent4" w:themeFillTint="40"/>
      </w:tcPr>
    </w:tblStylePr>
    <w:tblStylePr w:type="band1Vert">
      <w:tcPr>
        <w:shd w:val="clear" w:fill="FFFFFF" w:color="FFFFFF" w:themeFill="accent4" w:themeFillTint="40"/>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val="clear" w:fill="FFFFFF" w:color="FFFFFF"/>
        <w:tcBorders>
          <w:left w:val="none" w:color="000000" w:sz="4" w:space="0"/>
          <w:top w:val="none" w:color="000000" w:sz="4" w:space="0"/>
          <w:right w:val="single" w:color="000000" w:sz="4" w:space="0" w:themeColor="accent4" w:themeTint="9A"/>
          <w:bottom w:val="none" w:color="000000" w:sz="4" w:space="0"/>
        </w:tcBorders>
      </w:tcPr>
    </w:tblStylePr>
    <w:tblStylePr w:type="firstRow">
      <w:rPr>
        <w:rFonts w:ascii="Arial" w:hAnsi="Arial"/>
        <w:i/>
        <w:color w:val="664F82" w:themeColor="accent4" w:themeTint="9A" w:themeShade="95"/>
        <w:sz w:val="22"/>
      </w:rPr>
      <w:tcPr>
        <w:shd w:val="clear" w:fill="FFFFFF" w:color="FFFFFF" w:themeFill="light1"/>
        <w:tcBorders>
          <w:left w:val="none" w:color="000000" w:sz="4" w:space="0"/>
          <w:top w:val="none" w:color="000000" w:sz="4" w:space="0"/>
          <w:right w:val="none" w:color="000000" w:sz="4" w:space="0"/>
          <w:bottom w:val="single" w:color="000000" w:sz="4" w:space="0" w:themeColor="accent4" w:themeTint="9A"/>
        </w:tcBorders>
      </w:tcPr>
    </w:tblStylePr>
    <w:tblStylePr w:type="lastCol">
      <w:rPr>
        <w:rFonts w:ascii="Arial" w:hAnsi="Arial"/>
        <w:i/>
        <w:color w:val="664F82" w:themeColor="accent4" w:themeTint="9A" w:themeShade="95"/>
        <w:sz w:val="22"/>
      </w:rPr>
      <w:tcPr>
        <w:shd w:val="clear" w:fill="FFFFFF" w:color="FFFFFF"/>
        <w:tcBorders>
          <w:left w:val="single" w:color="000000" w:sz="4" w:space="0" w:themeColor="accent4" w:themeTint="9A"/>
          <w:top w:val="none" w:color="000000" w:sz="4" w:space="0"/>
          <w:right w:val="none" w:color="000000" w:sz="4" w:space="0"/>
          <w:bottom w:val="none" w:color="000000" w:sz="4" w:space="0"/>
        </w:tcBorders>
      </w:tcPr>
    </w:tblStylePr>
    <w:tblStylePr w:type="lastRow">
      <w:rPr>
        <w:rFonts w:ascii="Arial" w:hAnsi="Arial"/>
        <w:i/>
        <w:color w:val="664F82" w:themeColor="accent4" w:themeTint="9A" w:themeShade="95"/>
        <w:sz w:val="22"/>
      </w:rPr>
      <w:tcPr>
        <w:shd w:val="clear" w:fill="FFFFFF" w:color="FFFFFF" w:themeFill="light1"/>
        <w:tcBorders>
          <w:left w:val="none" w:color="000000" w:sz="4" w:space="0"/>
          <w:top w:val="single" w:color="000000" w:sz="4" w:space="0" w:themeColor="accent4" w:themeTint="9A"/>
          <w:right w:val="none" w:color="000000" w:sz="4" w:space="0"/>
          <w:bottom w:val="none" w:color="000000" w:sz="4" w:space="0"/>
        </w:tcBorders>
      </w:tcPr>
    </w:tblStylePr>
    <w:tblStylePr w:type="wholeTable">
      <w:rPr>
        <w:rFonts w:ascii="Arial" w:hAnsi="Arial"/>
        <w:color w:val="664F82" w:themeColor="accent4" w:themeTint="9A" w:themeShade="95"/>
        <w:sz w:val="22"/>
      </w:rPr>
    </w:tblStylePr>
  </w:style>
  <w:style w:type="table" w:styleId="1078">
    <w:name w:val="List Table 7 Colorful - Accent 5"/>
    <w:uiPriority w:val="99"/>
    <w:pPr>
      <w:spacing w:lineRule="auto" w:line="240" w:after="0"/>
    </w:pPr>
    <w:tblPr>
      <w:tblStyleRowBandSize w:val="1"/>
      <w:tblStyleColBandSize w:val="1"/>
      <w:tblInd w:w="0" w:type="dxa"/>
      <w:tblBorders>
        <w:right w:val="single" w:color="000000" w:sz="4" w:space="0" w:themeColor="accent5" w:themeTint="9A"/>
      </w:tblBorders>
    </w:tblPr>
    <w:tblStylePr w:type="band1Horz">
      <w:rPr>
        <w:rFonts w:ascii="Arial" w:hAnsi="Arial"/>
        <w:color w:val="338AA0" w:themeColor="accent5" w:themeTint="9A" w:themeShade="95"/>
        <w:sz w:val="22"/>
      </w:rPr>
      <w:tcPr>
        <w:shd w:val="clear" w:fill="FFFFFF" w:color="FFFFFF" w:themeFill="accent5" w:themeFillTint="40"/>
      </w:tcPr>
    </w:tblStylePr>
    <w:tblStylePr w:type="band1Vert">
      <w:tcPr>
        <w:shd w:val="clear" w:fill="FFFFFF" w:color="FFFFFF" w:themeFill="accent5" w:themeFillTint="40"/>
      </w:tcPr>
    </w:tblStylePr>
    <w:tblStylePr w:type="band2Horz">
      <w:rPr>
        <w:rFonts w:ascii="Arial" w:hAnsi="Arial"/>
        <w:color w:val="338AA0" w:themeColor="accent5" w:themeTint="9A" w:themeShade="95"/>
        <w:sz w:val="22"/>
      </w:rPr>
    </w:tblStylePr>
    <w:tblStylePr w:type="firstCol">
      <w:rPr>
        <w:rFonts w:ascii="Arial" w:hAnsi="Arial"/>
        <w:i/>
        <w:color w:val="338AA0" w:themeColor="accent5" w:themeTint="9A" w:themeShade="95"/>
        <w:sz w:val="22"/>
      </w:rPr>
      <w:pPr>
        <w:jc w:val="right"/>
      </w:pPr>
      <w:tcPr>
        <w:shd w:val="clear" w:fill="FFFFFF" w:color="FFFFFF"/>
        <w:tcBorders>
          <w:left w:val="none" w:color="000000" w:sz="4" w:space="0"/>
          <w:top w:val="none" w:color="000000" w:sz="4" w:space="0"/>
          <w:right w:val="single" w:color="000000" w:sz="4" w:space="0" w:themeColor="accent5" w:themeTint="9A"/>
          <w:bottom w:val="none" w:color="000000" w:sz="4" w:space="0"/>
        </w:tcBorders>
      </w:tcPr>
    </w:tblStylePr>
    <w:tblStylePr w:type="firstRow">
      <w:rPr>
        <w:rFonts w:ascii="Arial" w:hAnsi="Arial"/>
        <w:i/>
        <w:color w:val="338AA0" w:themeColor="accent5" w:themeTint="9A" w:themeShade="95"/>
        <w:sz w:val="22"/>
      </w:rPr>
      <w:tcPr>
        <w:shd w:val="clear" w:fill="FFFFFF" w:color="FFFFFF" w:themeFill="light1"/>
        <w:tcBorders>
          <w:left w:val="none" w:color="000000" w:sz="4" w:space="0"/>
          <w:top w:val="none" w:color="000000" w:sz="4" w:space="0"/>
          <w:right w:val="none" w:color="000000" w:sz="4" w:space="0"/>
          <w:bottom w:val="single" w:color="000000" w:sz="4" w:space="0" w:themeColor="accent5" w:themeTint="9A"/>
        </w:tcBorders>
      </w:tcPr>
    </w:tblStylePr>
    <w:tblStylePr w:type="lastCol">
      <w:rPr>
        <w:rFonts w:ascii="Arial" w:hAnsi="Arial"/>
        <w:i/>
        <w:color w:val="338AA0" w:themeColor="accent5" w:themeTint="9A" w:themeShade="95"/>
        <w:sz w:val="22"/>
      </w:rPr>
      <w:tcPr>
        <w:shd w:val="clear" w:fill="FFFFFF" w:color="FFFFFF"/>
        <w:tcBorders>
          <w:left w:val="single" w:color="000000" w:sz="4" w:space="0" w:themeColor="accent5" w:themeTint="9A"/>
          <w:top w:val="none" w:color="000000" w:sz="4" w:space="0"/>
          <w:right w:val="none" w:color="000000" w:sz="4" w:space="0"/>
          <w:bottom w:val="none" w:color="000000" w:sz="4" w:space="0"/>
        </w:tcBorders>
      </w:tcPr>
    </w:tblStylePr>
    <w:tblStylePr w:type="lastRow">
      <w:rPr>
        <w:rFonts w:ascii="Arial" w:hAnsi="Arial"/>
        <w:i/>
        <w:color w:val="338AA0" w:themeColor="accent5" w:themeTint="9A" w:themeShade="95"/>
        <w:sz w:val="22"/>
      </w:rPr>
      <w:tcPr>
        <w:shd w:val="clear" w:fill="FFFFFF" w:color="FFFFFF" w:themeFill="light1"/>
        <w:tcBorders>
          <w:left w:val="none" w:color="000000" w:sz="4" w:space="0"/>
          <w:top w:val="single" w:color="000000" w:sz="4" w:space="0" w:themeColor="accent5" w:themeTint="9A"/>
          <w:right w:val="none" w:color="000000" w:sz="4" w:space="0"/>
          <w:bottom w:val="none" w:color="000000" w:sz="4" w:space="0"/>
        </w:tcBorders>
      </w:tcPr>
    </w:tblStylePr>
    <w:tblStylePr w:type="wholeTable">
      <w:rPr>
        <w:rFonts w:ascii="Arial" w:hAnsi="Arial"/>
        <w:color w:val="338AA0" w:themeColor="accent5" w:themeTint="9A" w:themeShade="95"/>
        <w:sz w:val="22"/>
      </w:rPr>
    </w:tblStylePr>
  </w:style>
  <w:style w:type="table" w:styleId="1079">
    <w:name w:val="List Table 7 Colorful - Accent 6"/>
    <w:uiPriority w:val="99"/>
    <w:pPr>
      <w:spacing w:lineRule="auto" w:line="240" w:after="0"/>
    </w:pPr>
    <w:tblPr>
      <w:tblStyleRowBandSize w:val="1"/>
      <w:tblStyleColBandSize w:val="1"/>
      <w:tblInd w:w="0" w:type="dxa"/>
      <w:tblBorders>
        <w:right w:val="single" w:color="000000" w:sz="4" w:space="0" w:themeColor="accent6" w:themeTint="98"/>
      </w:tblBorders>
    </w:tblPr>
    <w:tblStylePr w:type="band1Horz">
      <w:rPr>
        <w:rFonts w:ascii="Arial" w:hAnsi="Arial"/>
        <w:color w:val="D9680C" w:themeColor="accent6" w:themeTint="98" w:themeShade="95"/>
        <w:sz w:val="22"/>
      </w:rPr>
      <w:tcPr>
        <w:shd w:val="clear" w:fill="FFFFFF" w:color="FFFFFF" w:themeFill="accent6" w:themeFillTint="40"/>
      </w:tcPr>
    </w:tblStylePr>
    <w:tblStylePr w:type="band1Vert">
      <w:tcPr>
        <w:shd w:val="clear" w:fill="FFFFFF" w:color="FFFFFF" w:themeFill="accent6" w:themeFillTint="40"/>
      </w:tcPr>
    </w:tblStylePr>
    <w:tblStylePr w:type="band2Horz">
      <w:rPr>
        <w:rFonts w:ascii="Arial" w:hAnsi="Arial"/>
        <w:color w:val="D9680C" w:themeColor="accent6" w:themeTint="98" w:themeShade="95"/>
        <w:sz w:val="22"/>
      </w:rPr>
    </w:tblStylePr>
    <w:tblStylePr w:type="firstCol">
      <w:rPr>
        <w:rFonts w:ascii="Arial" w:hAnsi="Arial"/>
        <w:i/>
        <w:color w:val="D9680C" w:themeColor="accent6" w:themeTint="98" w:themeShade="95"/>
        <w:sz w:val="22"/>
      </w:rPr>
      <w:pPr>
        <w:jc w:val="right"/>
      </w:pPr>
      <w:tcPr>
        <w:shd w:val="clear" w:fill="FFFFFF" w:color="FFFFFF"/>
        <w:tcBorders>
          <w:left w:val="none" w:color="000000" w:sz="4" w:space="0"/>
          <w:top w:val="none" w:color="000000" w:sz="4" w:space="0"/>
          <w:right w:val="single" w:color="000000" w:sz="4" w:space="0" w:themeColor="accent6" w:themeTint="98"/>
          <w:bottom w:val="none" w:color="000000" w:sz="4" w:space="0"/>
        </w:tcBorders>
      </w:tcPr>
    </w:tblStylePr>
    <w:tblStylePr w:type="firstRow">
      <w:rPr>
        <w:rFonts w:ascii="Arial" w:hAnsi="Arial"/>
        <w:i/>
        <w:color w:val="D9680C" w:themeColor="accent6" w:themeTint="98" w:themeShade="95"/>
        <w:sz w:val="22"/>
      </w:rPr>
      <w:tcPr>
        <w:shd w:val="clear" w:fill="FFFFFF" w:color="FFFFFF" w:themeFill="light1"/>
        <w:tcBorders>
          <w:left w:val="none" w:color="000000" w:sz="4" w:space="0"/>
          <w:top w:val="none" w:color="000000" w:sz="4" w:space="0"/>
          <w:right w:val="none" w:color="000000" w:sz="4" w:space="0"/>
          <w:bottom w:val="single" w:color="000000" w:sz="4" w:space="0" w:themeColor="accent6" w:themeTint="98"/>
        </w:tcBorders>
      </w:tcPr>
    </w:tblStylePr>
    <w:tblStylePr w:type="lastCol">
      <w:rPr>
        <w:rFonts w:ascii="Arial" w:hAnsi="Arial"/>
        <w:i/>
        <w:color w:val="D9680C" w:themeColor="accent6" w:themeTint="98" w:themeShade="95"/>
        <w:sz w:val="22"/>
      </w:rPr>
      <w:tcPr>
        <w:shd w:val="clear" w:fill="FFFFFF" w:color="FFFFFF"/>
        <w:tcBorders>
          <w:left w:val="single" w:color="000000" w:sz="4" w:space="0" w:themeColor="accent6" w:themeTint="98"/>
          <w:top w:val="none" w:color="000000" w:sz="4" w:space="0"/>
          <w:right w:val="none" w:color="000000" w:sz="4" w:space="0"/>
          <w:bottom w:val="none" w:color="000000" w:sz="4" w:space="0"/>
        </w:tcBorders>
      </w:tcPr>
    </w:tblStylePr>
    <w:tblStylePr w:type="lastRow">
      <w:rPr>
        <w:rFonts w:ascii="Arial" w:hAnsi="Arial"/>
        <w:i/>
        <w:color w:val="D9680C" w:themeColor="accent6" w:themeTint="98" w:themeShade="95"/>
        <w:sz w:val="22"/>
      </w:rPr>
      <w:tcPr>
        <w:shd w:val="clear" w:fill="FFFFFF" w:color="FFFFFF" w:themeFill="light1"/>
        <w:tcBorders>
          <w:left w:val="none" w:color="000000" w:sz="4" w:space="0"/>
          <w:top w:val="single" w:color="000000" w:sz="4" w:space="0" w:themeColor="accent6" w:themeTint="98"/>
          <w:right w:val="none" w:color="000000" w:sz="4" w:space="0"/>
          <w:bottom w:val="none" w:color="000000" w:sz="4" w:space="0"/>
        </w:tcBorders>
      </w:tcPr>
    </w:tblStylePr>
    <w:tblStylePr w:type="wholeTable">
      <w:rPr>
        <w:rFonts w:ascii="Arial" w:hAnsi="Arial"/>
        <w:color w:val="D9680C" w:themeColor="accent6" w:themeTint="98" w:themeShade="95"/>
        <w:sz w:val="22"/>
      </w:rPr>
    </w:tblStylePr>
  </w:style>
  <w:style w:type="table" w:styleId="1080">
    <w:name w:val="Lined - Accent"/>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fill="FFFFFF" w:color="FFFFFF" w:themeFill="text1" w:themeFillTint="0D"/>
      </w:tcPr>
    </w:tblStylePr>
    <w:tblStylePr w:type="band2Vert">
      <w:rPr>
        <w:rFonts w:ascii="Arial" w:hAnsi="Arial"/>
        <w:color w:val="404040"/>
        <w:sz w:val="22"/>
      </w:rPr>
      <w:tcPr>
        <w:shd w:val="clear" w:fill="FFFFFF" w:color="FFFFFF" w:themeFill="text1" w:themeFillTint="0D"/>
      </w:tcPr>
    </w:tblStylePr>
    <w:tblStylePr w:type="firstCol">
      <w:rPr>
        <w:rFonts w:ascii="Arial" w:hAnsi="Arial"/>
        <w:color w:val="F2F2F2"/>
        <w:sz w:val="22"/>
      </w:rPr>
      <w:tcPr>
        <w:shd w:val="clear" w:fill="FFFFFF" w:color="FFFFFF" w:themeFill="text1" w:themeFillTint="80"/>
      </w:tcPr>
    </w:tblStylePr>
    <w:tblStylePr w:type="firstRow">
      <w:rPr>
        <w:rFonts w:ascii="Arial" w:hAnsi="Arial"/>
        <w:color w:val="F2F2F2"/>
        <w:sz w:val="22"/>
      </w:rPr>
      <w:tcPr>
        <w:shd w:val="clear" w:fill="FFFFFF" w:color="FFFFFF" w:themeFill="text1" w:themeFillTint="80"/>
      </w:tcPr>
    </w:tblStylePr>
    <w:tblStylePr w:type="lastCol">
      <w:rPr>
        <w:rFonts w:ascii="Arial" w:hAnsi="Arial"/>
        <w:color w:val="F2F2F2"/>
        <w:sz w:val="22"/>
      </w:rPr>
      <w:tcPr>
        <w:shd w:val="clear" w:fill="FFFFFF" w:color="FFFFFF" w:themeFill="text1" w:themeFillTint="80"/>
      </w:tcPr>
    </w:tblStylePr>
    <w:tblStylePr w:type="lastRow">
      <w:rPr>
        <w:rFonts w:ascii="Arial" w:hAnsi="Arial"/>
        <w:color w:val="F2F2F2"/>
        <w:sz w:val="22"/>
      </w:rPr>
      <w:tcPr>
        <w:shd w:val="clear" w:fill="FFFFFF" w:color="FFFFFF" w:themeFill="text1" w:themeFillTint="80"/>
      </w:tcPr>
    </w:tblStylePr>
  </w:style>
  <w:style w:type="table" w:styleId="1081">
    <w:name w:val="Lined - Accent 1"/>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fill="FFFFFF" w:color="FFFFFF" w:themeFill="accent1" w:themeFillTint="50"/>
      </w:tcPr>
    </w:tblStylePr>
    <w:tblStylePr w:type="band2Vert">
      <w:rPr>
        <w:rFonts w:ascii="Arial" w:hAnsi="Arial"/>
        <w:color w:val="404040"/>
        <w:sz w:val="22"/>
      </w:rPr>
      <w:tcPr>
        <w:shd w:val="clear" w:fill="FFFFFF" w:color="FFFFFF" w:themeFill="accent1" w:themeFillTint="50"/>
      </w:tcPr>
    </w:tblStylePr>
    <w:tblStylePr w:type="firstCol">
      <w:rPr>
        <w:rFonts w:ascii="Arial" w:hAnsi="Arial"/>
        <w:color w:val="F2F2F2"/>
        <w:sz w:val="22"/>
      </w:rPr>
      <w:tcPr>
        <w:shd w:val="clear" w:fill="FFFFFF" w:color="FFFFFF" w:themeFill="accent1" w:themeFillTint="EA"/>
      </w:tcPr>
    </w:tblStylePr>
    <w:tblStylePr w:type="firstRow">
      <w:rPr>
        <w:rFonts w:ascii="Arial" w:hAnsi="Arial"/>
        <w:color w:val="F2F2F2"/>
        <w:sz w:val="22"/>
      </w:rPr>
      <w:tcPr>
        <w:shd w:val="clear" w:fill="FFFFFF" w:color="FFFFFF" w:themeFill="accent1" w:themeFillTint="EA"/>
      </w:tcPr>
    </w:tblStylePr>
    <w:tblStylePr w:type="lastCol">
      <w:rPr>
        <w:rFonts w:ascii="Arial" w:hAnsi="Arial"/>
        <w:color w:val="F2F2F2"/>
        <w:sz w:val="22"/>
      </w:rPr>
      <w:tcPr>
        <w:shd w:val="clear" w:fill="FFFFFF" w:color="FFFFFF" w:themeFill="accent1" w:themeFillTint="EA"/>
      </w:tcPr>
    </w:tblStylePr>
    <w:tblStylePr w:type="lastRow">
      <w:rPr>
        <w:rFonts w:ascii="Arial" w:hAnsi="Arial"/>
        <w:color w:val="F2F2F2"/>
        <w:sz w:val="22"/>
      </w:rPr>
      <w:tcPr>
        <w:shd w:val="clear" w:fill="FFFFFF" w:color="FFFFFF" w:themeFill="accent1" w:themeFillTint="EA"/>
      </w:tcPr>
    </w:tblStylePr>
  </w:style>
  <w:style w:type="table" w:styleId="1082">
    <w:name w:val="Lined - Accent 2"/>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fill="FFFFFF" w:color="FFFFFF" w:themeFill="accent2" w:themeFillTint="32"/>
      </w:tcPr>
    </w:tblStylePr>
    <w:tblStylePr w:type="band2Vert">
      <w:rPr>
        <w:rFonts w:ascii="Arial" w:hAnsi="Arial"/>
        <w:color w:val="404040"/>
        <w:sz w:val="22"/>
      </w:rPr>
      <w:tcPr>
        <w:shd w:val="clear" w:fill="FFFFFF" w:color="FFFFFF" w:themeFill="accent2" w:themeFillTint="32"/>
      </w:tcPr>
    </w:tblStylePr>
    <w:tblStylePr w:type="firstCol">
      <w:rPr>
        <w:rFonts w:ascii="Arial" w:hAnsi="Arial"/>
        <w:color w:val="F2F2F2"/>
        <w:sz w:val="22"/>
      </w:rPr>
      <w:tcPr>
        <w:shd w:val="clear" w:fill="FFFFFF" w:color="FFFFFF" w:themeFill="accent2" w:themeFillTint="97"/>
      </w:tcPr>
    </w:tblStylePr>
    <w:tblStylePr w:type="firstRow">
      <w:rPr>
        <w:rFonts w:ascii="Arial" w:hAnsi="Arial"/>
        <w:color w:val="F2F2F2"/>
        <w:sz w:val="22"/>
      </w:rPr>
      <w:tcPr>
        <w:shd w:val="clear" w:fill="FFFFFF" w:color="FFFFFF" w:themeFill="accent2" w:themeFillTint="97"/>
      </w:tcPr>
    </w:tblStylePr>
    <w:tblStylePr w:type="lastCol">
      <w:rPr>
        <w:rFonts w:ascii="Arial" w:hAnsi="Arial"/>
        <w:color w:val="F2F2F2"/>
        <w:sz w:val="22"/>
      </w:rPr>
      <w:tcPr>
        <w:shd w:val="clear" w:fill="FFFFFF" w:color="FFFFFF" w:themeFill="accent2" w:themeFillTint="97"/>
      </w:tcPr>
    </w:tblStylePr>
    <w:tblStylePr w:type="lastRow">
      <w:rPr>
        <w:rFonts w:ascii="Arial" w:hAnsi="Arial"/>
        <w:color w:val="F2F2F2"/>
        <w:sz w:val="22"/>
      </w:rPr>
      <w:tcPr>
        <w:shd w:val="clear" w:fill="FFFFFF" w:color="FFFFFF" w:themeFill="accent2" w:themeFillTint="97"/>
      </w:tcPr>
    </w:tblStylePr>
  </w:style>
  <w:style w:type="table" w:styleId="1083">
    <w:name w:val="Lined - Accent 3"/>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fill="FFFFFF" w:color="FFFFFF" w:themeFill="accent3" w:themeFillTint="34"/>
      </w:tcPr>
    </w:tblStylePr>
    <w:tblStylePr w:type="band2Vert">
      <w:rPr>
        <w:rFonts w:ascii="Arial" w:hAnsi="Arial"/>
        <w:color w:val="404040"/>
        <w:sz w:val="22"/>
      </w:rPr>
      <w:tcPr>
        <w:shd w:val="clear" w:fill="FFFFFF" w:color="FFFFFF" w:themeFill="accent3" w:themeFillTint="34"/>
      </w:tcPr>
    </w:tblStylePr>
    <w:tblStylePr w:type="firstCol">
      <w:rPr>
        <w:rFonts w:ascii="Arial" w:hAnsi="Arial"/>
        <w:color w:val="F2F2F2"/>
        <w:sz w:val="22"/>
      </w:rPr>
      <w:tcPr>
        <w:shd w:val="clear" w:fill="FFFFFF" w:color="FFFFFF" w:themeFill="accent3" w:themeFillTint="FE"/>
      </w:tcPr>
    </w:tblStylePr>
    <w:tblStylePr w:type="firstRow">
      <w:rPr>
        <w:rFonts w:ascii="Arial" w:hAnsi="Arial"/>
        <w:color w:val="F2F2F2"/>
        <w:sz w:val="22"/>
      </w:rPr>
      <w:tcPr>
        <w:shd w:val="clear" w:fill="FFFFFF" w:color="FFFFFF" w:themeFill="accent3" w:themeFillTint="FE"/>
      </w:tcPr>
    </w:tblStylePr>
    <w:tblStylePr w:type="lastCol">
      <w:rPr>
        <w:rFonts w:ascii="Arial" w:hAnsi="Arial"/>
        <w:color w:val="F2F2F2"/>
        <w:sz w:val="22"/>
      </w:rPr>
      <w:tcPr>
        <w:shd w:val="clear" w:fill="FFFFFF" w:color="FFFFFF" w:themeFill="accent3" w:themeFillTint="FE"/>
      </w:tcPr>
    </w:tblStylePr>
    <w:tblStylePr w:type="lastRow">
      <w:rPr>
        <w:rFonts w:ascii="Arial" w:hAnsi="Arial"/>
        <w:color w:val="F2F2F2"/>
        <w:sz w:val="22"/>
      </w:rPr>
      <w:tcPr>
        <w:shd w:val="clear" w:fill="FFFFFF" w:color="FFFFFF" w:themeFill="accent3" w:themeFillTint="FE"/>
      </w:tcPr>
    </w:tblStylePr>
  </w:style>
  <w:style w:type="table" w:styleId="1084">
    <w:name w:val="Lined - Accent 4"/>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fill="FFFFFF" w:color="FFFFFF" w:themeFill="accent4" w:themeFillTint="34"/>
      </w:tcPr>
    </w:tblStylePr>
    <w:tblStylePr w:type="band2Vert">
      <w:rPr>
        <w:rFonts w:ascii="Arial" w:hAnsi="Arial"/>
        <w:color w:val="404040"/>
        <w:sz w:val="22"/>
      </w:rPr>
      <w:tcPr>
        <w:shd w:val="clear" w:fill="FFFFFF" w:color="FFFFFF" w:themeFill="accent4" w:themeFillTint="34"/>
      </w:tcPr>
    </w:tblStylePr>
    <w:tblStylePr w:type="firstCol">
      <w:rPr>
        <w:rFonts w:ascii="Arial" w:hAnsi="Arial"/>
        <w:color w:val="F2F2F2"/>
        <w:sz w:val="22"/>
      </w:rPr>
      <w:tcPr>
        <w:shd w:val="clear" w:fill="FFFFFF" w:color="FFFFFF" w:themeFill="accent4" w:themeFillTint="9A"/>
      </w:tcPr>
    </w:tblStylePr>
    <w:tblStylePr w:type="firstRow">
      <w:rPr>
        <w:rFonts w:ascii="Arial" w:hAnsi="Arial"/>
        <w:color w:val="F2F2F2"/>
        <w:sz w:val="22"/>
      </w:rPr>
      <w:tcPr>
        <w:shd w:val="clear" w:fill="FFFFFF" w:color="FFFFFF" w:themeFill="accent4" w:themeFillTint="9A"/>
      </w:tcPr>
    </w:tblStylePr>
    <w:tblStylePr w:type="lastCol">
      <w:rPr>
        <w:rFonts w:ascii="Arial" w:hAnsi="Arial"/>
        <w:color w:val="F2F2F2"/>
        <w:sz w:val="22"/>
      </w:rPr>
      <w:tcPr>
        <w:shd w:val="clear" w:fill="FFFFFF" w:color="FFFFFF" w:themeFill="accent4" w:themeFillTint="9A"/>
      </w:tcPr>
    </w:tblStylePr>
    <w:tblStylePr w:type="lastRow">
      <w:rPr>
        <w:rFonts w:ascii="Arial" w:hAnsi="Arial"/>
        <w:color w:val="F2F2F2"/>
        <w:sz w:val="22"/>
      </w:rPr>
      <w:tcPr>
        <w:shd w:val="clear" w:fill="FFFFFF" w:color="FFFFFF" w:themeFill="accent4" w:themeFillTint="9A"/>
      </w:tcPr>
    </w:tblStylePr>
  </w:style>
  <w:style w:type="table" w:styleId="1085">
    <w:name w:val="Lined - Accent 5"/>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fill="FFFFFF" w:color="FFFFFF" w:themeFill="accent5" w:themeFillTint="34"/>
      </w:tcPr>
    </w:tblStylePr>
    <w:tblStylePr w:type="band2Vert">
      <w:rPr>
        <w:rFonts w:ascii="Arial" w:hAnsi="Arial"/>
        <w:color w:val="404040"/>
        <w:sz w:val="22"/>
      </w:rPr>
      <w:tcPr>
        <w:shd w:val="clear" w:fill="FFFFFF" w:color="FFFFFF" w:themeFill="accent5" w:themeFillTint="34"/>
      </w:tcPr>
    </w:tblStylePr>
    <w:tblStylePr w:type="firstCol">
      <w:rPr>
        <w:rFonts w:ascii="Arial" w:hAnsi="Arial"/>
        <w:color w:val="F2F2F2"/>
        <w:sz w:val="22"/>
      </w:rPr>
      <w:tcPr>
        <w:shd w:val="clear" w:fill="FFFFFF" w:color="FFFFFF" w:themeFill="accent5"/>
      </w:tcPr>
    </w:tblStylePr>
    <w:tblStylePr w:type="firstRow">
      <w:rPr>
        <w:rFonts w:ascii="Arial" w:hAnsi="Arial"/>
        <w:color w:val="F2F2F2"/>
        <w:sz w:val="22"/>
      </w:rPr>
      <w:tcPr>
        <w:shd w:val="clear" w:fill="FFFFFF" w:color="FFFFFF" w:themeFill="accent5"/>
      </w:tcPr>
    </w:tblStylePr>
    <w:tblStylePr w:type="lastCol">
      <w:rPr>
        <w:rFonts w:ascii="Arial" w:hAnsi="Arial"/>
        <w:color w:val="F2F2F2"/>
        <w:sz w:val="22"/>
      </w:rPr>
      <w:tcPr>
        <w:shd w:val="clear" w:fill="FFFFFF" w:color="FFFFFF" w:themeFill="accent5"/>
      </w:tcPr>
    </w:tblStylePr>
    <w:tblStylePr w:type="lastRow">
      <w:rPr>
        <w:rFonts w:ascii="Arial" w:hAnsi="Arial"/>
        <w:color w:val="F2F2F2"/>
        <w:sz w:val="22"/>
      </w:rPr>
      <w:tcPr>
        <w:shd w:val="clear" w:fill="FFFFFF" w:color="FFFFFF" w:themeFill="accent5"/>
      </w:tcPr>
    </w:tblStylePr>
  </w:style>
  <w:style w:type="table" w:styleId="1086">
    <w:name w:val="Lined - Accent 6"/>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fill="FFFFFF" w:color="FFFFFF" w:themeFill="accent6" w:themeFillTint="34"/>
      </w:tcPr>
    </w:tblStylePr>
    <w:tblStylePr w:type="band2Vert">
      <w:rPr>
        <w:rFonts w:ascii="Arial" w:hAnsi="Arial"/>
        <w:color w:val="404040"/>
        <w:sz w:val="22"/>
      </w:rPr>
      <w:tcPr>
        <w:shd w:val="clear" w:fill="FFFFFF" w:color="FFFFFF" w:themeFill="accent6" w:themeFillTint="34"/>
      </w:tcPr>
    </w:tblStylePr>
    <w:tblStylePr w:type="firstCol">
      <w:rPr>
        <w:rFonts w:ascii="Arial" w:hAnsi="Arial"/>
        <w:color w:val="F2F2F2"/>
        <w:sz w:val="22"/>
      </w:rPr>
      <w:tcPr>
        <w:shd w:val="clear" w:fill="FFFFFF" w:color="FFFFFF" w:themeFill="accent6"/>
      </w:tcPr>
    </w:tblStylePr>
    <w:tblStylePr w:type="firstRow">
      <w:rPr>
        <w:rFonts w:ascii="Arial" w:hAnsi="Arial"/>
        <w:color w:val="F2F2F2"/>
        <w:sz w:val="22"/>
      </w:rPr>
      <w:tcPr>
        <w:shd w:val="clear" w:fill="FFFFFF" w:color="FFFFFF" w:themeFill="accent6"/>
      </w:tcPr>
    </w:tblStylePr>
    <w:tblStylePr w:type="lastCol">
      <w:rPr>
        <w:rFonts w:ascii="Arial" w:hAnsi="Arial"/>
        <w:color w:val="F2F2F2"/>
        <w:sz w:val="22"/>
      </w:rPr>
      <w:tcPr>
        <w:shd w:val="clear" w:fill="FFFFFF" w:color="FFFFFF" w:themeFill="accent6"/>
      </w:tcPr>
    </w:tblStylePr>
    <w:tblStylePr w:type="lastRow">
      <w:rPr>
        <w:rFonts w:ascii="Arial" w:hAnsi="Arial"/>
        <w:color w:val="F2F2F2"/>
        <w:sz w:val="22"/>
      </w:rPr>
      <w:tcPr>
        <w:shd w:val="clear" w:fill="FFFFFF" w:color="FFFFFF" w:themeFill="accent6"/>
      </w:tcPr>
    </w:tblStylePr>
  </w:style>
  <w:style w:type="table" w:styleId="1087">
    <w:name w:val="Bordered &amp; Lined - Accent"/>
    <w:uiPriority w:val="99"/>
    <w:rPr>
      <w:color w:val="404040"/>
    </w:rPr>
    <w:pPr>
      <w:spacing w:lineRule="auto" w:line="240" w:after="0"/>
    </w:pPr>
    <w:tblPr>
      <w:tblStyleRowBandSize w:val="1"/>
      <w:tblStyleColBandSize w:val="1"/>
      <w:tblInd w:w="0" w:type="dxa"/>
      <w:tblBorders>
        <w:left w:val="single" w:color="000000" w:sz="4" w:space="0" w:themeColor="text1" w:themeTint="A6"/>
        <w:top w:val="single" w:color="000000" w:sz="4" w:space="0" w:themeColor="text1" w:themeTint="A6"/>
        <w:right w:val="single" w:color="000000" w:sz="4" w:space="0" w:themeColor="text1" w:themeTint="A6"/>
        <w:bottom w:val="single" w:color="000000" w:sz="4" w:space="0" w:themeColor="text1" w:themeTint="A6"/>
        <w:insideV w:val="single" w:color="000000" w:sz="4" w:space="0" w:themeColor="text1" w:themeTint="A6"/>
        <w:insideH w:val="single" w:color="000000" w:sz="4" w:space="0" w:themeColor="text1" w:themeTint="A6"/>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fill="FFFFFF" w:color="FFFFFF" w:themeFill="text1" w:themeFillTint="0D"/>
      </w:tcPr>
    </w:tblStylePr>
    <w:tblStylePr w:type="band2Vert">
      <w:rPr>
        <w:rFonts w:ascii="Arial" w:hAnsi="Arial"/>
        <w:color w:val="404040"/>
        <w:sz w:val="22"/>
      </w:rPr>
      <w:tcPr>
        <w:shd w:val="clear" w:fill="FFFFFF" w:color="FFFFFF" w:themeFill="text1" w:themeFillTint="0D"/>
      </w:tcPr>
    </w:tblStylePr>
    <w:tblStylePr w:type="firstCol">
      <w:rPr>
        <w:rFonts w:ascii="Arial" w:hAnsi="Arial"/>
        <w:color w:val="F2F2F2"/>
        <w:sz w:val="22"/>
      </w:rPr>
      <w:tcPr>
        <w:shd w:val="clear" w:fill="FFFFFF" w:color="FFFFFF" w:themeFill="text1" w:themeFillTint="80"/>
      </w:tcPr>
    </w:tblStylePr>
    <w:tblStylePr w:type="firstRow">
      <w:rPr>
        <w:rFonts w:ascii="Arial" w:hAnsi="Arial"/>
        <w:color w:val="F2F2F2"/>
        <w:sz w:val="22"/>
      </w:rPr>
      <w:tcPr>
        <w:shd w:val="clear" w:fill="FFFFFF" w:color="FFFFFF" w:themeFill="text1" w:themeFillTint="80"/>
      </w:tcPr>
    </w:tblStylePr>
    <w:tblStylePr w:type="lastCol">
      <w:rPr>
        <w:rFonts w:ascii="Arial" w:hAnsi="Arial"/>
        <w:color w:val="F2F2F2"/>
        <w:sz w:val="22"/>
      </w:rPr>
      <w:tcPr>
        <w:shd w:val="clear" w:fill="FFFFFF" w:color="FFFFFF" w:themeFill="text1" w:themeFillTint="80"/>
      </w:tcPr>
    </w:tblStylePr>
    <w:tblStylePr w:type="lastRow">
      <w:rPr>
        <w:rFonts w:ascii="Arial" w:hAnsi="Arial"/>
        <w:color w:val="F2F2F2"/>
        <w:sz w:val="22"/>
      </w:rPr>
      <w:tcPr>
        <w:shd w:val="clear" w:fill="FFFFFF" w:color="FFFFFF" w:themeFill="text1" w:themeFillTint="80"/>
      </w:tcPr>
    </w:tblStylePr>
  </w:style>
  <w:style w:type="table" w:styleId="1088">
    <w:name w:val="Bordered &amp; Lined - Accent 1"/>
    <w:uiPriority w:val="99"/>
    <w:rPr>
      <w:color w:val="404040"/>
    </w:rPr>
    <w:pPr>
      <w:spacing w:lineRule="auto" w:line="240" w:after="0"/>
    </w:pPr>
    <w:tblPr>
      <w:tblStyleRowBandSize w:val="1"/>
      <w:tblStyleColBandSize w:val="1"/>
      <w:tblInd w:w="0" w:type="dxa"/>
      <w:tblBorders>
        <w:left w:val="single" w:color="000000" w:sz="4" w:space="0" w:themeColor="accent1" w:themeShade="95"/>
        <w:top w:val="single" w:color="000000" w:sz="4" w:space="0" w:themeColor="accent1" w:themeShade="95"/>
        <w:right w:val="single" w:color="000000" w:sz="4" w:space="0" w:themeColor="accent1" w:themeShade="95"/>
        <w:bottom w:val="single" w:color="000000" w:sz="4" w:space="0" w:themeColor="accent1" w:themeShade="95"/>
        <w:insideV w:val="single" w:color="000000" w:sz="4" w:space="0" w:themeColor="accent1" w:themeShade="95"/>
        <w:insideH w:val="single" w:color="000000" w:sz="4" w:space="0" w:themeColor="accent1"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fill="FFFFFF" w:color="FFFFFF" w:themeFill="accent1" w:themeFillTint="50"/>
      </w:tcPr>
    </w:tblStylePr>
    <w:tblStylePr w:type="band2Vert">
      <w:rPr>
        <w:rFonts w:ascii="Arial" w:hAnsi="Arial"/>
        <w:color w:val="404040"/>
        <w:sz w:val="22"/>
      </w:rPr>
      <w:tcPr>
        <w:shd w:val="clear" w:fill="FFFFFF" w:color="FFFFFF" w:themeFill="accent1" w:themeFillTint="50"/>
      </w:tcPr>
    </w:tblStylePr>
    <w:tblStylePr w:type="firstCol">
      <w:rPr>
        <w:rFonts w:ascii="Arial" w:hAnsi="Arial"/>
        <w:color w:val="F2F2F2"/>
        <w:sz w:val="22"/>
      </w:rPr>
      <w:tcPr>
        <w:shd w:val="clear" w:fill="FFFFFF" w:color="FFFFFF" w:themeFill="accent1" w:themeFillTint="EA"/>
      </w:tcPr>
    </w:tblStylePr>
    <w:tblStylePr w:type="firstRow">
      <w:rPr>
        <w:rFonts w:ascii="Arial" w:hAnsi="Arial"/>
        <w:color w:val="F2F2F2"/>
        <w:sz w:val="22"/>
      </w:rPr>
      <w:tcPr>
        <w:shd w:val="clear" w:fill="FFFFFF" w:color="FFFFFF" w:themeFill="accent1" w:themeFillTint="EA"/>
      </w:tcPr>
    </w:tblStylePr>
    <w:tblStylePr w:type="lastCol">
      <w:rPr>
        <w:rFonts w:ascii="Arial" w:hAnsi="Arial"/>
        <w:color w:val="F2F2F2"/>
        <w:sz w:val="22"/>
      </w:rPr>
      <w:tcPr>
        <w:shd w:val="clear" w:fill="FFFFFF" w:color="FFFFFF" w:themeFill="accent1" w:themeFillTint="EA"/>
      </w:tcPr>
    </w:tblStylePr>
    <w:tblStylePr w:type="lastRow">
      <w:rPr>
        <w:rFonts w:ascii="Arial" w:hAnsi="Arial"/>
        <w:color w:val="F2F2F2"/>
        <w:sz w:val="22"/>
      </w:rPr>
      <w:tcPr>
        <w:shd w:val="clear" w:fill="FFFFFF" w:color="FFFFFF" w:themeFill="accent1" w:themeFillTint="EA"/>
      </w:tcPr>
    </w:tblStylePr>
  </w:style>
  <w:style w:type="table" w:styleId="1089">
    <w:name w:val="Bordered &amp; Lined - Accent 2"/>
    <w:uiPriority w:val="99"/>
    <w:rPr>
      <w:color w:val="404040"/>
    </w:rPr>
    <w:pPr>
      <w:spacing w:lineRule="auto" w:line="240" w:after="0"/>
    </w:pPr>
    <w:tblPr>
      <w:tblStyleRowBandSize w:val="1"/>
      <w:tblStyleColBandSize w:val="1"/>
      <w:tblInd w:w="0" w:type="dxa"/>
      <w:tblBorders>
        <w:left w:val="single" w:color="000000" w:sz="4" w:space="0" w:themeColor="accent2" w:themeShade="95"/>
        <w:top w:val="single" w:color="000000" w:sz="4" w:space="0" w:themeColor="accent2" w:themeShade="95"/>
        <w:right w:val="single" w:color="000000" w:sz="4" w:space="0" w:themeColor="accent2" w:themeShade="95"/>
        <w:bottom w:val="single" w:color="000000" w:sz="4" w:space="0" w:themeColor="accent2" w:themeShade="95"/>
        <w:insideV w:val="single" w:color="000000" w:sz="4" w:space="0" w:themeColor="accent2" w:themeShade="95"/>
        <w:insideH w:val="single" w:color="000000" w:sz="4" w:space="0" w:themeColor="accent2"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fill="FFFFFF" w:color="FFFFFF" w:themeFill="accent2" w:themeFillTint="32"/>
      </w:tcPr>
    </w:tblStylePr>
    <w:tblStylePr w:type="band2Vert">
      <w:rPr>
        <w:rFonts w:ascii="Arial" w:hAnsi="Arial"/>
        <w:color w:val="404040"/>
        <w:sz w:val="22"/>
      </w:rPr>
      <w:tcPr>
        <w:shd w:val="clear" w:fill="FFFFFF" w:color="FFFFFF" w:themeFill="accent2" w:themeFillTint="32"/>
      </w:tcPr>
    </w:tblStylePr>
    <w:tblStylePr w:type="firstCol">
      <w:rPr>
        <w:rFonts w:ascii="Arial" w:hAnsi="Arial"/>
        <w:color w:val="F2F2F2"/>
        <w:sz w:val="22"/>
      </w:rPr>
      <w:tcPr>
        <w:shd w:val="clear" w:fill="FFFFFF" w:color="FFFFFF" w:themeFill="accent2" w:themeFillTint="97"/>
      </w:tcPr>
    </w:tblStylePr>
    <w:tblStylePr w:type="firstRow">
      <w:rPr>
        <w:rFonts w:ascii="Arial" w:hAnsi="Arial"/>
        <w:color w:val="F2F2F2"/>
        <w:sz w:val="22"/>
      </w:rPr>
      <w:tcPr>
        <w:shd w:val="clear" w:fill="FFFFFF" w:color="FFFFFF" w:themeFill="accent2" w:themeFillTint="97"/>
      </w:tcPr>
    </w:tblStylePr>
    <w:tblStylePr w:type="lastCol">
      <w:rPr>
        <w:rFonts w:ascii="Arial" w:hAnsi="Arial"/>
        <w:color w:val="F2F2F2"/>
        <w:sz w:val="22"/>
      </w:rPr>
      <w:tcPr>
        <w:shd w:val="clear" w:fill="FFFFFF" w:color="FFFFFF" w:themeFill="accent2" w:themeFillTint="97"/>
      </w:tcPr>
    </w:tblStylePr>
    <w:tblStylePr w:type="lastRow">
      <w:rPr>
        <w:rFonts w:ascii="Arial" w:hAnsi="Arial"/>
        <w:color w:val="F2F2F2"/>
        <w:sz w:val="22"/>
      </w:rPr>
      <w:tcPr>
        <w:shd w:val="clear" w:fill="FFFFFF" w:color="FFFFFF" w:themeFill="accent2" w:themeFillTint="97"/>
      </w:tcPr>
    </w:tblStylePr>
  </w:style>
  <w:style w:type="table" w:styleId="1090">
    <w:name w:val="Bordered &amp; Lined - Accent 3"/>
    <w:uiPriority w:val="99"/>
    <w:rPr>
      <w:color w:val="404040"/>
    </w:rPr>
    <w:pPr>
      <w:spacing w:lineRule="auto" w:line="240" w:after="0"/>
    </w:pPr>
    <w:tblPr>
      <w:tblStyleRowBandSize w:val="1"/>
      <w:tblStyleColBandSize w:val="1"/>
      <w:tblInd w:w="0" w:type="dxa"/>
      <w:tblBorders>
        <w:left w:val="single" w:color="000000" w:sz="4" w:space="0" w:themeColor="accent3" w:themeShade="95"/>
        <w:top w:val="single" w:color="000000" w:sz="4" w:space="0" w:themeColor="accent3" w:themeShade="95"/>
        <w:right w:val="single" w:color="000000" w:sz="4" w:space="0" w:themeColor="accent3" w:themeShade="95"/>
        <w:bottom w:val="single" w:color="000000" w:sz="4" w:space="0" w:themeColor="accent3" w:themeShade="95"/>
        <w:insideV w:val="single" w:color="000000" w:sz="4" w:space="0" w:themeColor="accent3" w:themeShade="95"/>
        <w:insideH w:val="single" w:color="000000" w:sz="4" w:space="0" w:themeColor="accent3"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fill="FFFFFF" w:color="FFFFFF" w:themeFill="accent3" w:themeFillTint="34"/>
      </w:tcPr>
    </w:tblStylePr>
    <w:tblStylePr w:type="band2Vert">
      <w:rPr>
        <w:rFonts w:ascii="Arial" w:hAnsi="Arial"/>
        <w:color w:val="404040"/>
        <w:sz w:val="22"/>
      </w:rPr>
      <w:tcPr>
        <w:shd w:val="clear" w:fill="FFFFFF" w:color="FFFFFF" w:themeFill="accent3" w:themeFillTint="34"/>
      </w:tcPr>
    </w:tblStylePr>
    <w:tblStylePr w:type="firstCol">
      <w:rPr>
        <w:rFonts w:ascii="Arial" w:hAnsi="Arial"/>
        <w:color w:val="F2F2F2"/>
        <w:sz w:val="22"/>
      </w:rPr>
      <w:tcPr>
        <w:shd w:val="clear" w:fill="FFFFFF" w:color="FFFFFF" w:themeFill="accent3" w:themeFillTint="FE"/>
      </w:tcPr>
    </w:tblStylePr>
    <w:tblStylePr w:type="firstRow">
      <w:rPr>
        <w:rFonts w:ascii="Arial" w:hAnsi="Arial"/>
        <w:color w:val="F2F2F2"/>
        <w:sz w:val="22"/>
      </w:rPr>
      <w:tcPr>
        <w:shd w:val="clear" w:fill="FFFFFF" w:color="FFFFFF" w:themeFill="accent3" w:themeFillTint="FE"/>
      </w:tcPr>
    </w:tblStylePr>
    <w:tblStylePr w:type="lastCol">
      <w:rPr>
        <w:rFonts w:ascii="Arial" w:hAnsi="Arial"/>
        <w:color w:val="F2F2F2"/>
        <w:sz w:val="22"/>
      </w:rPr>
      <w:tcPr>
        <w:shd w:val="clear" w:fill="FFFFFF" w:color="FFFFFF" w:themeFill="accent3" w:themeFillTint="FE"/>
      </w:tcPr>
    </w:tblStylePr>
    <w:tblStylePr w:type="lastRow">
      <w:rPr>
        <w:rFonts w:ascii="Arial" w:hAnsi="Arial"/>
        <w:color w:val="F2F2F2"/>
        <w:sz w:val="22"/>
      </w:rPr>
      <w:tcPr>
        <w:shd w:val="clear" w:fill="FFFFFF" w:color="FFFFFF" w:themeFill="accent3" w:themeFillTint="FE"/>
      </w:tcPr>
    </w:tblStylePr>
  </w:style>
  <w:style w:type="table" w:styleId="1091">
    <w:name w:val="Bordered &amp; Lined - Accent 4"/>
    <w:uiPriority w:val="99"/>
    <w:rPr>
      <w:color w:val="404040"/>
    </w:rPr>
    <w:pPr>
      <w:spacing w:lineRule="auto" w:line="240" w:after="0"/>
    </w:pPr>
    <w:tblPr>
      <w:tblStyleRowBandSize w:val="1"/>
      <w:tblStyleColBandSize w:val="1"/>
      <w:tblInd w:w="0" w:type="dxa"/>
      <w:tblBorders>
        <w:left w:val="single" w:color="000000" w:sz="4" w:space="0" w:themeColor="accent4" w:themeShade="95"/>
        <w:top w:val="single" w:color="000000" w:sz="4" w:space="0" w:themeColor="accent4" w:themeShade="95"/>
        <w:right w:val="single" w:color="000000" w:sz="4" w:space="0" w:themeColor="accent4" w:themeShade="95"/>
        <w:bottom w:val="single" w:color="000000" w:sz="4" w:space="0" w:themeColor="accent4" w:themeShade="95"/>
        <w:insideV w:val="single" w:color="000000" w:sz="4" w:space="0" w:themeColor="accent4" w:themeShade="95"/>
        <w:insideH w:val="single" w:color="000000" w:sz="4" w:space="0" w:themeColor="accent4"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fill="FFFFFF" w:color="FFFFFF" w:themeFill="accent4" w:themeFillTint="34"/>
      </w:tcPr>
    </w:tblStylePr>
    <w:tblStylePr w:type="band2Vert">
      <w:rPr>
        <w:rFonts w:ascii="Arial" w:hAnsi="Arial"/>
        <w:color w:val="404040"/>
        <w:sz w:val="22"/>
      </w:rPr>
      <w:tcPr>
        <w:shd w:val="clear" w:fill="FFFFFF" w:color="FFFFFF" w:themeFill="accent4" w:themeFillTint="34"/>
      </w:tcPr>
    </w:tblStylePr>
    <w:tblStylePr w:type="firstCol">
      <w:rPr>
        <w:rFonts w:ascii="Arial" w:hAnsi="Arial"/>
        <w:color w:val="F2F2F2"/>
        <w:sz w:val="22"/>
      </w:rPr>
      <w:tcPr>
        <w:shd w:val="clear" w:fill="FFFFFF" w:color="FFFFFF" w:themeFill="accent4" w:themeFillTint="9A"/>
      </w:tcPr>
    </w:tblStylePr>
    <w:tblStylePr w:type="firstRow">
      <w:rPr>
        <w:rFonts w:ascii="Arial" w:hAnsi="Arial"/>
        <w:color w:val="F2F2F2"/>
        <w:sz w:val="22"/>
      </w:rPr>
      <w:tcPr>
        <w:shd w:val="clear" w:fill="FFFFFF" w:color="FFFFFF" w:themeFill="accent4" w:themeFillTint="9A"/>
      </w:tcPr>
    </w:tblStylePr>
    <w:tblStylePr w:type="lastCol">
      <w:rPr>
        <w:rFonts w:ascii="Arial" w:hAnsi="Arial"/>
        <w:color w:val="F2F2F2"/>
        <w:sz w:val="22"/>
      </w:rPr>
      <w:tcPr>
        <w:shd w:val="clear" w:fill="FFFFFF" w:color="FFFFFF" w:themeFill="accent4" w:themeFillTint="9A"/>
      </w:tcPr>
    </w:tblStylePr>
    <w:tblStylePr w:type="lastRow">
      <w:rPr>
        <w:rFonts w:ascii="Arial" w:hAnsi="Arial"/>
        <w:color w:val="F2F2F2"/>
        <w:sz w:val="22"/>
      </w:rPr>
      <w:tcPr>
        <w:shd w:val="clear" w:fill="FFFFFF" w:color="FFFFFF" w:themeFill="accent4" w:themeFillTint="9A"/>
      </w:tcPr>
    </w:tblStylePr>
  </w:style>
  <w:style w:type="table" w:styleId="1092">
    <w:name w:val="Bordered &amp; Lined - Accent 5"/>
    <w:uiPriority w:val="99"/>
    <w:rPr>
      <w:color w:val="404040"/>
    </w:rPr>
    <w:pPr>
      <w:spacing w:lineRule="auto" w:line="240" w:after="0"/>
    </w:pPr>
    <w:tblPr>
      <w:tblStyleRowBandSize w:val="1"/>
      <w:tblStyleColBandSize w:val="1"/>
      <w:tblInd w:w="0" w:type="dxa"/>
      <w:tblBorders>
        <w:left w:val="single" w:color="000000" w:sz="4" w:space="0" w:themeColor="accent5" w:themeShade="95"/>
        <w:top w:val="single" w:color="000000" w:sz="4" w:space="0" w:themeColor="accent5" w:themeShade="95"/>
        <w:right w:val="single" w:color="000000" w:sz="4" w:space="0" w:themeColor="accent5" w:themeShade="95"/>
        <w:bottom w:val="single" w:color="000000" w:sz="4" w:space="0" w:themeColor="accent5" w:themeShade="95"/>
        <w:insideV w:val="single" w:color="000000" w:sz="4" w:space="0" w:themeColor="accent5" w:themeShade="95"/>
        <w:insideH w:val="single" w:color="000000" w:sz="4" w:space="0" w:themeColor="accent5"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fill="FFFFFF" w:color="FFFFFF" w:themeFill="accent5" w:themeFillTint="34"/>
      </w:tcPr>
    </w:tblStylePr>
    <w:tblStylePr w:type="band2Vert">
      <w:rPr>
        <w:rFonts w:ascii="Arial" w:hAnsi="Arial"/>
        <w:color w:val="404040"/>
        <w:sz w:val="22"/>
      </w:rPr>
      <w:tcPr>
        <w:shd w:val="clear" w:fill="FFFFFF" w:color="FFFFFF" w:themeFill="accent5" w:themeFillTint="34"/>
      </w:tcPr>
    </w:tblStylePr>
    <w:tblStylePr w:type="firstCol">
      <w:rPr>
        <w:rFonts w:ascii="Arial" w:hAnsi="Arial"/>
        <w:color w:val="F2F2F2"/>
        <w:sz w:val="22"/>
      </w:rPr>
      <w:tcPr>
        <w:shd w:val="clear" w:fill="FFFFFF" w:color="FFFFFF" w:themeFill="accent5"/>
      </w:tcPr>
    </w:tblStylePr>
    <w:tblStylePr w:type="firstRow">
      <w:rPr>
        <w:rFonts w:ascii="Arial" w:hAnsi="Arial"/>
        <w:color w:val="F2F2F2"/>
        <w:sz w:val="22"/>
      </w:rPr>
      <w:tcPr>
        <w:shd w:val="clear" w:fill="FFFFFF" w:color="FFFFFF" w:themeFill="accent5"/>
      </w:tcPr>
    </w:tblStylePr>
    <w:tblStylePr w:type="lastCol">
      <w:rPr>
        <w:rFonts w:ascii="Arial" w:hAnsi="Arial"/>
        <w:color w:val="F2F2F2"/>
        <w:sz w:val="22"/>
      </w:rPr>
      <w:tcPr>
        <w:shd w:val="clear" w:fill="FFFFFF" w:color="FFFFFF" w:themeFill="accent5"/>
      </w:tcPr>
    </w:tblStylePr>
    <w:tblStylePr w:type="lastRow">
      <w:rPr>
        <w:rFonts w:ascii="Arial" w:hAnsi="Arial"/>
        <w:color w:val="F2F2F2"/>
        <w:sz w:val="22"/>
      </w:rPr>
      <w:tcPr>
        <w:shd w:val="clear" w:fill="FFFFFF" w:color="FFFFFF" w:themeFill="accent5"/>
      </w:tcPr>
    </w:tblStylePr>
  </w:style>
  <w:style w:type="table" w:styleId="1093">
    <w:name w:val="Bordered &amp; Lined - Accent 6"/>
    <w:uiPriority w:val="99"/>
    <w:rPr>
      <w:color w:val="404040"/>
    </w:rPr>
    <w:pPr>
      <w:spacing w:lineRule="auto" w:line="240" w:after="0"/>
    </w:pPr>
    <w:tblPr>
      <w:tblStyleRowBandSize w:val="1"/>
      <w:tblStyleColBandSize w:val="1"/>
      <w:tblInd w:w="0" w:type="dxa"/>
      <w:tblBorders>
        <w:left w:val="single" w:color="000000" w:sz="4" w:space="0" w:themeColor="accent6" w:themeShade="95"/>
        <w:top w:val="single" w:color="000000" w:sz="4" w:space="0" w:themeColor="accent6" w:themeShade="95"/>
        <w:right w:val="single" w:color="000000" w:sz="4" w:space="0" w:themeColor="accent6" w:themeShade="95"/>
        <w:bottom w:val="single" w:color="000000" w:sz="4" w:space="0" w:themeColor="accent6" w:themeShade="95"/>
        <w:insideV w:val="single" w:color="000000" w:sz="4" w:space="0" w:themeColor="accent6" w:themeShade="95"/>
        <w:insideH w:val="single" w:color="000000" w:sz="4" w:space="0" w:themeColor="accent6"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fill="FFFFFF" w:color="FFFFFF" w:themeFill="accent6" w:themeFillTint="34"/>
      </w:tcPr>
    </w:tblStylePr>
    <w:tblStylePr w:type="band2Vert">
      <w:rPr>
        <w:rFonts w:ascii="Arial" w:hAnsi="Arial"/>
        <w:color w:val="404040"/>
        <w:sz w:val="22"/>
      </w:rPr>
      <w:tcPr>
        <w:shd w:val="clear" w:fill="FFFFFF" w:color="FFFFFF" w:themeFill="accent6" w:themeFillTint="34"/>
      </w:tcPr>
    </w:tblStylePr>
    <w:tblStylePr w:type="firstCol">
      <w:rPr>
        <w:rFonts w:ascii="Arial" w:hAnsi="Arial"/>
        <w:color w:val="F2F2F2"/>
        <w:sz w:val="22"/>
      </w:rPr>
      <w:tcPr>
        <w:shd w:val="clear" w:fill="FFFFFF" w:color="FFFFFF" w:themeFill="accent6"/>
      </w:tcPr>
    </w:tblStylePr>
    <w:tblStylePr w:type="firstRow">
      <w:rPr>
        <w:rFonts w:ascii="Arial" w:hAnsi="Arial"/>
        <w:color w:val="F2F2F2"/>
        <w:sz w:val="22"/>
      </w:rPr>
      <w:tcPr>
        <w:shd w:val="clear" w:fill="FFFFFF" w:color="FFFFFF" w:themeFill="accent6"/>
      </w:tcPr>
    </w:tblStylePr>
    <w:tblStylePr w:type="lastCol">
      <w:rPr>
        <w:rFonts w:ascii="Arial" w:hAnsi="Arial"/>
        <w:color w:val="F2F2F2"/>
        <w:sz w:val="22"/>
      </w:rPr>
      <w:tcPr>
        <w:shd w:val="clear" w:fill="FFFFFF" w:color="FFFFFF" w:themeFill="accent6"/>
      </w:tcPr>
    </w:tblStylePr>
    <w:tblStylePr w:type="lastRow">
      <w:rPr>
        <w:rFonts w:ascii="Arial" w:hAnsi="Arial"/>
        <w:color w:val="F2F2F2"/>
        <w:sz w:val="22"/>
      </w:rPr>
      <w:tcPr>
        <w:shd w:val="clear" w:fill="FFFFFF" w:color="FFFFFF" w:themeFill="accent6"/>
      </w:tcPr>
    </w:tblStylePr>
  </w:style>
  <w:style w:type="table" w:styleId="1094">
    <w:name w:val="Bordered"/>
    <w:uiPriority w:val="99"/>
    <w:pPr>
      <w:spacing w:lineRule="auto" w:line="240" w:after="0"/>
    </w:pPr>
    <w:tblPr>
      <w:tblStyleRowBandSize w:val="1"/>
      <w:tblStyleColBandSize w:val="1"/>
      <w:tblInd w:w="0" w:type="dxa"/>
      <w:tblBorders>
        <w:left w:val="single" w:color="000000" w:sz="4" w:space="0" w:themeColor="text1" w:themeTint="26"/>
        <w:top w:val="single" w:color="000000" w:sz="4" w:space="0" w:themeColor="text1" w:themeTint="26"/>
        <w:right w:val="single" w:color="000000" w:sz="4" w:space="0" w:themeColor="text1" w:themeTint="26"/>
        <w:bottom w:val="single" w:color="000000" w:sz="4" w:space="0" w:themeColor="text1" w:themeTint="26"/>
        <w:insideV w:val="single" w:color="000000" w:sz="4" w:space="0" w:themeColor="text1" w:themeTint="26"/>
        <w:insideH w:val="single" w:color="000000" w:sz="4" w:space="0" w:themeColor="text1" w:themeTint="26"/>
      </w:tblBorders>
    </w:tblPr>
    <w:tblStylePr w:type="band1Horz">
      <w:rPr>
        <w:rFonts w:ascii="Arial" w:hAnsi="Arial"/>
        <w:color w:val="404040"/>
        <w:sz w:val="22"/>
      </w:rPr>
      <w:tcPr>
        <w:tcBorders>
          <w:left w:val="single" w:color="000000" w:sz="4" w:space="0" w:themeColor="text1" w:themeTint="26"/>
          <w:top w:val="single" w:color="000000" w:sz="4" w:space="0" w:themeColor="text1" w:themeTint="26"/>
          <w:right w:val="single" w:color="000000" w:sz="4" w:space="0" w:themeColor="text1" w:themeTint="26"/>
          <w:bottom w:val="single" w:color="000000" w:sz="4" w:space="0" w:themeColor="text1" w:themeTint="26"/>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text1" w:themeTint="80"/>
        </w:tcBorders>
      </w:tcPr>
    </w:tblStylePr>
    <w:tblStylePr w:type="lastCol">
      <w:rPr>
        <w:rFonts w:ascii="Arial" w:hAnsi="Arial"/>
        <w:color w:val="404040"/>
        <w:sz w:val="22"/>
      </w:rPr>
      <w:tcPr>
        <w:tcBorders>
          <w:left w:val="single" w:color="000000" w:sz="12" w:space="0" w:themeColor="text1" w:themeTint="80"/>
        </w:tcBorders>
      </w:tcPr>
    </w:tblStylePr>
    <w:tblStylePr w:type="lastRow">
      <w:rPr>
        <w:rFonts w:ascii="Arial" w:hAnsi="Arial"/>
        <w:color w:val="404040"/>
        <w:sz w:val="22"/>
      </w:rPr>
      <w:tcPr>
        <w:tcBorders>
          <w:top w:val="single" w:color="000000" w:sz="12" w:space="0" w:themeColor="text1" w:themeTint="80"/>
        </w:tcBorders>
      </w:tcPr>
    </w:tblStylePr>
  </w:style>
  <w:style w:type="table" w:styleId="1095">
    <w:name w:val="Bordered - Accent 1"/>
    <w:uiPriority w:val="99"/>
    <w:pPr>
      <w:spacing w:lineRule="auto" w:line="240" w:after="0"/>
    </w:pPr>
    <w:tblPr>
      <w:tblStyleRowBandSize w:val="1"/>
      <w:tblStyleColBandSize w:val="1"/>
      <w:tblInd w:w="0" w:type="dxa"/>
      <w:tbl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insideV w:val="single" w:color="000000" w:sz="4" w:space="0" w:themeColor="accent1" w:themeTint="67"/>
        <w:insideH w:val="single" w:color="000000" w:sz="4" w:space="0" w:themeColor="accent1" w:themeTint="67"/>
      </w:tblBorders>
    </w:tblPr>
    <w:tblStylePr w:type="band1Horz">
      <w:rPr>
        <w:rFonts w:ascii="Arial" w:hAnsi="Arial"/>
        <w:color w:val="404040"/>
        <w:sz w:val="22"/>
      </w:rPr>
      <w:tcPr>
        <w:tc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1"/>
        </w:tcBorders>
      </w:tcPr>
    </w:tblStylePr>
    <w:tblStylePr w:type="lastCol">
      <w:rPr>
        <w:rFonts w:ascii="Arial" w:hAnsi="Arial"/>
        <w:color w:val="404040"/>
        <w:sz w:val="22"/>
      </w:rPr>
      <w:tcPr>
        <w:tcBorders>
          <w:left w:val="single" w:color="000000" w:sz="12" w:space="0" w:themeColor="accent1"/>
        </w:tcBorders>
      </w:tcPr>
    </w:tblStylePr>
    <w:tblStylePr w:type="lastRow">
      <w:rPr>
        <w:rFonts w:ascii="Arial" w:hAnsi="Arial"/>
        <w:color w:val="404040"/>
        <w:sz w:val="22"/>
      </w:rPr>
      <w:tcPr>
        <w:tcBorders>
          <w:top w:val="single" w:color="000000" w:sz="12" w:space="0" w:themeColor="accent1"/>
        </w:tcBorders>
      </w:tcPr>
    </w:tblStylePr>
  </w:style>
  <w:style w:type="table" w:styleId="1096">
    <w:name w:val="Bordered - Accent 2"/>
    <w:uiPriority w:val="99"/>
    <w:pPr>
      <w:spacing w:lineRule="auto" w:line="240" w:after="0"/>
    </w:pPr>
    <w:tblPr>
      <w:tblStyleRowBandSize w:val="1"/>
      <w:tblStyleColBandSize w:val="1"/>
      <w:tblInd w:w="0" w:type="dxa"/>
      <w:tbl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insideV w:val="single" w:color="000000" w:sz="4" w:space="0" w:themeColor="accent2" w:themeTint="67"/>
        <w:insideH w:val="single" w:color="000000" w:sz="4" w:space="0" w:themeColor="accent2" w:themeTint="67"/>
      </w:tblBorders>
    </w:tblPr>
    <w:tblStylePr w:type="band1Horz">
      <w:rPr>
        <w:rFonts w:ascii="Arial" w:hAnsi="Arial"/>
        <w:color w:val="404040"/>
        <w:sz w:val="22"/>
      </w:rPr>
      <w:tcPr>
        <w:tc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2" w:themeTint="97"/>
        </w:tcBorders>
      </w:tcPr>
    </w:tblStylePr>
    <w:tblStylePr w:type="lastCol">
      <w:rPr>
        <w:rFonts w:ascii="Arial" w:hAnsi="Arial"/>
        <w:color w:val="404040"/>
        <w:sz w:val="22"/>
      </w:rPr>
      <w:tcPr>
        <w:tcBorders>
          <w:left w:val="single" w:color="000000" w:sz="12" w:space="0" w:themeColor="accent2" w:themeTint="97"/>
        </w:tcBorders>
      </w:tcPr>
    </w:tblStylePr>
    <w:tblStylePr w:type="lastRow">
      <w:rPr>
        <w:rFonts w:ascii="Arial" w:hAnsi="Arial"/>
        <w:color w:val="404040"/>
        <w:sz w:val="22"/>
      </w:rPr>
      <w:tcPr>
        <w:tcBorders>
          <w:top w:val="single" w:color="000000" w:sz="12" w:space="0" w:themeColor="accent2" w:themeTint="97"/>
        </w:tcBorders>
      </w:tcPr>
    </w:tblStylePr>
  </w:style>
  <w:style w:type="table" w:styleId="1097">
    <w:name w:val="Bordered - Accent 3"/>
    <w:uiPriority w:val="99"/>
    <w:pPr>
      <w:spacing w:lineRule="auto" w:line="240" w:after="0"/>
    </w:pPr>
    <w:tblPr>
      <w:tblStyleRowBandSize w:val="1"/>
      <w:tblStyleColBandSize w:val="1"/>
      <w:tblInd w:w="0" w:type="dxa"/>
      <w:tbl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insideV w:val="single" w:color="000000" w:sz="4" w:space="0" w:themeColor="accent3" w:themeTint="67"/>
        <w:insideH w:val="single" w:color="000000" w:sz="4" w:space="0" w:themeColor="accent3" w:themeTint="67"/>
      </w:tblBorders>
    </w:tblPr>
    <w:tblStylePr w:type="band1Horz">
      <w:rPr>
        <w:rFonts w:ascii="Arial" w:hAnsi="Arial"/>
        <w:color w:val="404040"/>
        <w:sz w:val="22"/>
      </w:rPr>
      <w:tcPr>
        <w:tc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3" w:themeTint="98"/>
        </w:tcBorders>
      </w:tcPr>
    </w:tblStylePr>
    <w:tblStylePr w:type="lastCol">
      <w:rPr>
        <w:rFonts w:ascii="Arial" w:hAnsi="Arial"/>
        <w:color w:val="404040"/>
        <w:sz w:val="22"/>
      </w:rPr>
      <w:tcPr>
        <w:tcBorders>
          <w:left w:val="single" w:color="000000" w:sz="12" w:space="0" w:themeColor="accent3" w:themeTint="98"/>
        </w:tcBorders>
      </w:tcPr>
    </w:tblStylePr>
    <w:tblStylePr w:type="lastRow">
      <w:rPr>
        <w:rFonts w:ascii="Arial" w:hAnsi="Arial"/>
        <w:color w:val="404040"/>
        <w:sz w:val="22"/>
      </w:rPr>
      <w:tcPr>
        <w:tcBorders>
          <w:top w:val="single" w:color="000000" w:sz="12" w:space="0" w:themeColor="accent3" w:themeTint="98"/>
        </w:tcBorders>
      </w:tcPr>
    </w:tblStylePr>
  </w:style>
  <w:style w:type="table" w:styleId="1098">
    <w:name w:val="Bordered - Accent 4"/>
    <w:uiPriority w:val="99"/>
    <w:pPr>
      <w:spacing w:lineRule="auto" w:line="240" w:after="0"/>
    </w:pPr>
    <w:tblPr>
      <w:tblStyleRowBandSize w:val="1"/>
      <w:tblStyleColBandSize w:val="1"/>
      <w:tblInd w:w="0" w:type="dxa"/>
      <w:tbl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insideV w:val="single" w:color="000000" w:sz="4" w:space="0" w:themeColor="accent4" w:themeTint="67"/>
        <w:insideH w:val="single" w:color="000000" w:sz="4" w:space="0" w:themeColor="accent4" w:themeTint="67"/>
      </w:tblBorders>
    </w:tblPr>
    <w:tblStylePr w:type="band1Horz">
      <w:rPr>
        <w:rFonts w:ascii="Arial" w:hAnsi="Arial"/>
        <w:color w:val="404040"/>
        <w:sz w:val="22"/>
      </w:rPr>
      <w:tcPr>
        <w:tc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4" w:themeTint="9A"/>
        </w:tcBorders>
      </w:tcPr>
    </w:tblStylePr>
    <w:tblStylePr w:type="lastCol">
      <w:rPr>
        <w:rFonts w:ascii="Arial" w:hAnsi="Arial"/>
        <w:color w:val="404040"/>
        <w:sz w:val="22"/>
      </w:rPr>
      <w:tcPr>
        <w:tcBorders>
          <w:left w:val="single" w:color="000000" w:sz="12" w:space="0" w:themeColor="accent4" w:themeTint="9A"/>
        </w:tcBorders>
      </w:tcPr>
    </w:tblStylePr>
    <w:tblStylePr w:type="lastRow">
      <w:rPr>
        <w:rFonts w:ascii="Arial" w:hAnsi="Arial"/>
        <w:color w:val="404040"/>
        <w:sz w:val="22"/>
      </w:rPr>
      <w:tcPr>
        <w:tcBorders>
          <w:top w:val="single" w:color="000000" w:sz="12" w:space="0" w:themeColor="accent4" w:themeTint="9A"/>
        </w:tcBorders>
      </w:tcPr>
    </w:tblStylePr>
  </w:style>
  <w:style w:type="table" w:styleId="1099">
    <w:name w:val="Bordered - Accent 5"/>
    <w:uiPriority w:val="99"/>
    <w:pPr>
      <w:spacing w:lineRule="auto" w:line="240" w:after="0"/>
    </w:pPr>
    <w:tblPr>
      <w:tblStyleRowBandSize w:val="1"/>
      <w:tblStyleColBandSize w:val="1"/>
      <w:tblInd w:w="0" w:type="dxa"/>
      <w:tbl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insideV w:val="single" w:color="000000" w:sz="4" w:space="0" w:themeColor="accent5" w:themeTint="67"/>
        <w:insideH w:val="single" w:color="000000" w:sz="4" w:space="0" w:themeColor="accent5" w:themeTint="67"/>
      </w:tblBorders>
    </w:tblPr>
    <w:tblStylePr w:type="band1Horz">
      <w:rPr>
        <w:rFonts w:ascii="Arial" w:hAnsi="Arial"/>
        <w:color w:val="404040"/>
        <w:sz w:val="22"/>
      </w:rPr>
      <w:tcPr>
        <w:tc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5" w:themeTint="9A"/>
        </w:tcBorders>
      </w:tcPr>
    </w:tblStylePr>
    <w:tblStylePr w:type="lastCol">
      <w:rPr>
        <w:rFonts w:ascii="Arial" w:hAnsi="Arial"/>
        <w:color w:val="404040"/>
        <w:sz w:val="22"/>
      </w:rPr>
      <w:tcPr>
        <w:tcBorders>
          <w:left w:val="single" w:color="000000" w:sz="12" w:space="0" w:themeColor="accent5" w:themeTint="9A"/>
        </w:tcBorders>
      </w:tcPr>
    </w:tblStylePr>
    <w:tblStylePr w:type="lastRow">
      <w:rPr>
        <w:rFonts w:ascii="Arial" w:hAnsi="Arial"/>
        <w:color w:val="404040"/>
        <w:sz w:val="22"/>
      </w:rPr>
      <w:tcPr>
        <w:tcBorders>
          <w:top w:val="single" w:color="000000" w:sz="12" w:space="0" w:themeColor="accent5" w:themeTint="9A"/>
        </w:tcBorders>
      </w:tcPr>
    </w:tblStylePr>
  </w:style>
  <w:style w:type="table" w:styleId="1100">
    <w:name w:val="Bordered - Accent 6"/>
    <w:uiPriority w:val="99"/>
    <w:pPr>
      <w:spacing w:lineRule="auto" w:line="240" w:after="0"/>
    </w:pPr>
    <w:tblPr>
      <w:tblStyleRowBandSize w:val="1"/>
      <w:tblStyleColBandSize w:val="1"/>
      <w:tblInd w:w="0" w:type="dxa"/>
      <w:tbl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insideV w:val="single" w:color="000000" w:sz="4" w:space="0" w:themeColor="accent6" w:themeTint="67"/>
        <w:insideH w:val="single" w:color="000000" w:sz="4" w:space="0" w:themeColor="accent6" w:themeTint="67"/>
      </w:tblBorders>
    </w:tblPr>
    <w:tblStylePr w:type="band1Horz">
      <w:rPr>
        <w:rFonts w:ascii="Arial" w:hAnsi="Arial"/>
        <w:color w:val="404040"/>
        <w:sz w:val="22"/>
      </w:rPr>
      <w:tcPr>
        <w:tc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6" w:themeTint="98"/>
        </w:tcBorders>
      </w:tcPr>
    </w:tblStylePr>
    <w:tblStylePr w:type="lastCol">
      <w:rPr>
        <w:rFonts w:ascii="Arial" w:hAnsi="Arial"/>
        <w:color w:val="404040"/>
        <w:sz w:val="22"/>
      </w:rPr>
      <w:tcPr>
        <w:tcBorders>
          <w:left w:val="single" w:color="000000" w:sz="12" w:space="0" w:themeColor="accent6" w:themeTint="98"/>
        </w:tcBorders>
      </w:tcPr>
    </w:tblStylePr>
    <w:tblStylePr w:type="lastRow">
      <w:rPr>
        <w:rFonts w:ascii="Arial" w:hAnsi="Arial"/>
        <w:color w:val="404040"/>
        <w:sz w:val="22"/>
      </w:rPr>
      <w:tcPr>
        <w:tcBorders>
          <w:top w:val="single" w:color="000000" w:sz="12" w:space="0" w:themeColor="accent6" w:themeTint="98"/>
        </w:tcBorders>
      </w:tcPr>
    </w:tblStylePr>
  </w:style>
  <w:style w:type="paragraph" w:styleId="1101">
    <w:name w:val="footnote text"/>
    <w:basedOn w:val="1117"/>
    <w:link w:val="1102"/>
    <w:uiPriority w:val="99"/>
    <w:semiHidden/>
    <w:unhideWhenUsed/>
    <w:rPr>
      <w:sz w:val="18"/>
    </w:rPr>
    <w:pPr>
      <w:spacing w:lineRule="auto" w:line="240" w:after="40"/>
    </w:pPr>
  </w:style>
  <w:style w:type="character" w:styleId="1102">
    <w:name w:val="Footnote Text Char"/>
    <w:link w:val="1101"/>
    <w:uiPriority w:val="99"/>
    <w:rPr>
      <w:sz w:val="18"/>
    </w:rPr>
  </w:style>
  <w:style w:type="character" w:styleId="1103">
    <w:name w:val="footnote reference"/>
    <w:uiPriority w:val="99"/>
    <w:unhideWhenUsed/>
    <w:rPr>
      <w:vertAlign w:val="superscript"/>
    </w:rPr>
  </w:style>
  <w:style w:type="paragraph" w:styleId="1104">
    <w:name w:val="endnote text"/>
    <w:basedOn w:val="1117"/>
    <w:link w:val="1105"/>
    <w:uiPriority w:val="99"/>
    <w:semiHidden/>
    <w:unhideWhenUsed/>
    <w:rPr>
      <w:sz w:val="20"/>
    </w:rPr>
    <w:pPr>
      <w:spacing w:lineRule="auto" w:line="240" w:after="0"/>
    </w:pPr>
  </w:style>
  <w:style w:type="character" w:styleId="1105">
    <w:name w:val="Endnote Text Char"/>
    <w:link w:val="1104"/>
    <w:uiPriority w:val="99"/>
    <w:rPr>
      <w:sz w:val="20"/>
    </w:rPr>
  </w:style>
  <w:style w:type="character" w:styleId="1106">
    <w:name w:val="endnote reference"/>
    <w:uiPriority w:val="99"/>
    <w:semiHidden/>
    <w:unhideWhenUsed/>
    <w:rPr>
      <w:vertAlign w:val="superscript"/>
    </w:rPr>
  </w:style>
  <w:style w:type="paragraph" w:styleId="1107">
    <w:name w:val="toc 1"/>
    <w:basedOn w:val="1117"/>
    <w:next w:val="1117"/>
    <w:uiPriority w:val="39"/>
    <w:unhideWhenUsed/>
    <w:pPr>
      <w:ind w:left="0" w:right="0" w:firstLine="0"/>
      <w:spacing w:after="57"/>
    </w:pPr>
  </w:style>
  <w:style w:type="paragraph" w:styleId="1108">
    <w:name w:val="toc 2"/>
    <w:basedOn w:val="1117"/>
    <w:next w:val="1117"/>
    <w:uiPriority w:val="39"/>
    <w:unhideWhenUsed/>
    <w:pPr>
      <w:ind w:left="283" w:right="0" w:firstLine="0"/>
      <w:spacing w:after="57"/>
    </w:pPr>
  </w:style>
  <w:style w:type="paragraph" w:styleId="1109">
    <w:name w:val="toc 3"/>
    <w:basedOn w:val="1117"/>
    <w:next w:val="1117"/>
    <w:uiPriority w:val="39"/>
    <w:unhideWhenUsed/>
    <w:pPr>
      <w:ind w:left="567" w:right="0" w:firstLine="0"/>
      <w:spacing w:after="57"/>
    </w:pPr>
  </w:style>
  <w:style w:type="paragraph" w:styleId="1110">
    <w:name w:val="toc 4"/>
    <w:basedOn w:val="1117"/>
    <w:next w:val="1117"/>
    <w:uiPriority w:val="39"/>
    <w:unhideWhenUsed/>
    <w:pPr>
      <w:ind w:left="850" w:right="0" w:firstLine="0"/>
      <w:spacing w:after="57"/>
    </w:pPr>
  </w:style>
  <w:style w:type="paragraph" w:styleId="1111">
    <w:name w:val="toc 5"/>
    <w:basedOn w:val="1117"/>
    <w:next w:val="1117"/>
    <w:uiPriority w:val="39"/>
    <w:unhideWhenUsed/>
    <w:pPr>
      <w:ind w:left="1134" w:right="0" w:firstLine="0"/>
      <w:spacing w:after="57"/>
    </w:pPr>
  </w:style>
  <w:style w:type="paragraph" w:styleId="1112">
    <w:name w:val="toc 6"/>
    <w:basedOn w:val="1117"/>
    <w:next w:val="1117"/>
    <w:uiPriority w:val="39"/>
    <w:unhideWhenUsed/>
    <w:pPr>
      <w:ind w:left="1417" w:right="0" w:firstLine="0"/>
      <w:spacing w:after="57"/>
    </w:pPr>
  </w:style>
  <w:style w:type="paragraph" w:styleId="1113">
    <w:name w:val="toc 7"/>
    <w:basedOn w:val="1117"/>
    <w:next w:val="1117"/>
    <w:uiPriority w:val="39"/>
    <w:unhideWhenUsed/>
    <w:pPr>
      <w:ind w:left="1701" w:right="0" w:firstLine="0"/>
      <w:spacing w:after="57"/>
    </w:pPr>
  </w:style>
  <w:style w:type="paragraph" w:styleId="1114">
    <w:name w:val="toc 8"/>
    <w:basedOn w:val="1117"/>
    <w:next w:val="1117"/>
    <w:uiPriority w:val="39"/>
    <w:unhideWhenUsed/>
    <w:pPr>
      <w:ind w:left="1984" w:right="0" w:firstLine="0"/>
      <w:spacing w:after="57"/>
    </w:pPr>
  </w:style>
  <w:style w:type="paragraph" w:styleId="1115">
    <w:name w:val="toc 9"/>
    <w:basedOn w:val="1117"/>
    <w:next w:val="1117"/>
    <w:uiPriority w:val="39"/>
    <w:unhideWhenUsed/>
    <w:pPr>
      <w:ind w:left="2268" w:right="0" w:firstLine="0"/>
      <w:spacing w:after="57"/>
    </w:pPr>
  </w:style>
  <w:style w:type="paragraph" w:styleId="1116">
    <w:name w:val="TOC Heading"/>
    <w:uiPriority w:val="39"/>
    <w:unhideWhenUsed/>
  </w:style>
  <w:style w:type="paragraph" w:styleId="1117" w:default="1">
    <w:name w:val="Normal"/>
    <w:next w:val="1117"/>
    <w:link w:val="1117"/>
    <w:rPr>
      <w:lang w:val="pt-BR" w:bidi="ar-SA" w:eastAsia="pt-BR"/>
    </w:rPr>
  </w:style>
  <w:style w:type="paragraph" w:styleId="1118">
    <w:name w:val="Título 1"/>
    <w:basedOn w:val="1117"/>
    <w:next w:val="1117"/>
    <w:link w:val="1124"/>
    <w:rPr>
      <w:rFonts w:ascii="Cambria" w:hAnsi="Cambria"/>
      <w:b/>
      <w:bCs/>
      <w:sz w:val="32"/>
      <w:szCs w:val="32"/>
    </w:rPr>
    <w:pPr>
      <w:keepNext/>
      <w:spacing w:after="60" w:before="240"/>
      <w:outlineLvl w:val="0"/>
    </w:pPr>
  </w:style>
  <w:style w:type="paragraph" w:styleId="1119">
    <w:name w:val="Título 4"/>
    <w:basedOn w:val="1117"/>
    <w:next w:val="1117"/>
    <w:link w:val="1125"/>
    <w:rPr>
      <w:rFonts w:ascii="Calibri" w:hAnsi="Calibri"/>
      <w:b/>
      <w:bCs/>
      <w:sz w:val="28"/>
      <w:szCs w:val="28"/>
    </w:rPr>
    <w:pPr>
      <w:keepNext/>
      <w:spacing w:after="60" w:before="240"/>
      <w:outlineLvl w:val="3"/>
    </w:pPr>
  </w:style>
  <w:style w:type="paragraph" w:styleId="1120">
    <w:name w:val="Título 5"/>
    <w:basedOn w:val="1117"/>
    <w:next w:val="1117"/>
    <w:link w:val="1117"/>
    <w:rPr>
      <w:b/>
      <w:bCs/>
      <w:i/>
      <w:iCs/>
      <w:sz w:val="26"/>
      <w:szCs w:val="26"/>
    </w:rPr>
    <w:pPr>
      <w:spacing w:after="60" w:before="240"/>
      <w:outlineLvl w:val="4"/>
    </w:pPr>
  </w:style>
  <w:style w:type="character" w:styleId="1121">
    <w:name w:val="Fonte parág. padrão"/>
    <w:next w:val="1121"/>
    <w:link w:val="1117"/>
  </w:style>
  <w:style w:type="table" w:styleId="1122">
    <w:name w:val="Tabela normal"/>
    <w:next w:val="1122"/>
    <w:link w:val="1117"/>
    <w:tblPr/>
  </w:style>
  <w:style w:type="numbering" w:styleId="1123">
    <w:name w:val="Sem lista"/>
    <w:next w:val="1123"/>
    <w:link w:val="1117"/>
    <w:semiHidden/>
  </w:style>
  <w:style w:type="character" w:styleId="1124">
    <w:name w:val="Título 1 Char"/>
    <w:next w:val="1124"/>
    <w:link w:val="1118"/>
    <w:rPr>
      <w:rFonts w:ascii="Cambria" w:hAnsi="Cambria"/>
      <w:b/>
      <w:bCs/>
      <w:sz w:val="32"/>
      <w:szCs w:val="32"/>
    </w:rPr>
  </w:style>
  <w:style w:type="character" w:styleId="1125">
    <w:name w:val="Título 4 Char"/>
    <w:next w:val="1125"/>
    <w:link w:val="1119"/>
    <w:semiHidden/>
    <w:rPr>
      <w:rFonts w:ascii="Calibri" w:hAnsi="Calibri"/>
      <w:b/>
      <w:bCs/>
      <w:sz w:val="28"/>
      <w:szCs w:val="28"/>
    </w:rPr>
  </w:style>
  <w:style w:type="character" w:styleId="1126">
    <w:name w:val="Forte"/>
    <w:next w:val="1126"/>
    <w:link w:val="1117"/>
    <w:rPr>
      <w:b/>
      <w:bCs/>
    </w:rPr>
  </w:style>
  <w:style w:type="character" w:styleId="1127">
    <w:name w:val="Ref. de comentário"/>
    <w:next w:val="1127"/>
    <w:link w:val="1117"/>
    <w:semiHidden/>
    <w:rPr>
      <w:sz w:val="16"/>
      <w:szCs w:val="16"/>
    </w:rPr>
  </w:style>
  <w:style w:type="character" w:styleId="1128">
    <w:name w:val="Ênfase"/>
    <w:next w:val="1128"/>
    <w:link w:val="1117"/>
    <w:rPr>
      <w:i/>
      <w:iCs/>
    </w:rPr>
  </w:style>
  <w:style w:type="character" w:styleId="1129">
    <w:name w:val="Ref. de nota de rodapé"/>
    <w:next w:val="1129"/>
    <w:link w:val="1117"/>
    <w:rPr>
      <w:vertAlign w:val="superscript"/>
    </w:rPr>
  </w:style>
  <w:style w:type="character" w:styleId="1130">
    <w:name w:val="Hyperlink"/>
    <w:next w:val="1130"/>
    <w:link w:val="1117"/>
    <w:rPr>
      <w:color w:val="0000FF"/>
      <w:u w:val="single"/>
    </w:rPr>
  </w:style>
  <w:style w:type="paragraph" w:styleId="1131">
    <w:name w:val="Sumário 2"/>
    <w:basedOn w:val="1117"/>
    <w:next w:val="1117"/>
    <w:link w:val="1117"/>
    <w:semiHidden/>
    <w:rPr>
      <w:rFonts w:ascii="Calibri" w:hAnsi="Calibri"/>
      <w:sz w:val="22"/>
      <w:szCs w:val="22"/>
      <w:lang w:eastAsia="en-US"/>
    </w:rPr>
    <w:pPr>
      <w:ind w:left="220"/>
      <w:spacing w:lineRule="auto" w:line="276" w:after="100"/>
    </w:pPr>
  </w:style>
  <w:style w:type="paragraph" w:styleId="1132">
    <w:name w:val="Corpo de texto"/>
    <w:basedOn w:val="1117"/>
    <w:next w:val="1132"/>
    <w:link w:val="1133"/>
    <w:rPr>
      <w:sz w:val="24"/>
      <w:szCs w:val="24"/>
    </w:rPr>
    <w:pPr>
      <w:jc w:val="both"/>
    </w:pPr>
  </w:style>
  <w:style w:type="character" w:styleId="1133">
    <w:name w:val="Corpo de texto Char"/>
    <w:next w:val="1133"/>
    <w:link w:val="1132"/>
    <w:rPr>
      <w:sz w:val="24"/>
      <w:szCs w:val="24"/>
    </w:rPr>
  </w:style>
  <w:style w:type="paragraph" w:styleId="1134">
    <w:name w:val="Texto de comentário"/>
    <w:basedOn w:val="1117"/>
    <w:next w:val="1134"/>
    <w:link w:val="1117"/>
    <w:semiHidden/>
  </w:style>
  <w:style w:type="paragraph" w:styleId="1135">
    <w:name w:val="Normal (Web)"/>
    <w:basedOn w:val="1117"/>
    <w:next w:val="1135"/>
    <w:link w:val="1117"/>
    <w:rPr>
      <w:sz w:val="24"/>
      <w:szCs w:val="24"/>
    </w:rPr>
    <w:pPr>
      <w:spacing w:after="100" w:afterAutospacing="1" w:before="100" w:beforeAutospacing="1"/>
    </w:pPr>
  </w:style>
  <w:style w:type="paragraph" w:styleId="1136">
    <w:name w:val="Cabeçalho"/>
    <w:basedOn w:val="1117"/>
    <w:next w:val="1136"/>
    <w:link w:val="1137"/>
    <w:semiHidden/>
    <w:rPr>
      <w:sz w:val="24"/>
      <w:szCs w:val="24"/>
    </w:rPr>
    <w:pPr>
      <w:tabs>
        <w:tab w:val="center" w:pos="4252" w:leader="none"/>
        <w:tab w:val="right" w:pos="8504" w:leader="none"/>
      </w:tabs>
    </w:pPr>
  </w:style>
  <w:style w:type="character" w:styleId="1137">
    <w:name w:val="Cabeçalho Char"/>
    <w:next w:val="1137"/>
    <w:link w:val="1136"/>
    <w:semiHidden/>
    <w:rPr>
      <w:sz w:val="24"/>
      <w:szCs w:val="24"/>
    </w:rPr>
  </w:style>
  <w:style w:type="paragraph" w:styleId="1138">
    <w:name w:val="Assunto do comentário"/>
    <w:basedOn w:val="1134"/>
    <w:next w:val="1134"/>
    <w:link w:val="1117"/>
    <w:semiHidden/>
    <w:rPr>
      <w:b/>
      <w:bCs/>
    </w:rPr>
  </w:style>
  <w:style w:type="paragraph" w:styleId="1139">
    <w:name w:val="Rodapé"/>
    <w:basedOn w:val="1117"/>
    <w:next w:val="1139"/>
    <w:link w:val="1140"/>
    <w:rPr>
      <w:sz w:val="24"/>
      <w:szCs w:val="24"/>
    </w:rPr>
    <w:pPr>
      <w:tabs>
        <w:tab w:val="center" w:pos="4252" w:leader="none"/>
        <w:tab w:val="right" w:pos="8504" w:leader="none"/>
      </w:tabs>
    </w:pPr>
  </w:style>
  <w:style w:type="character" w:styleId="1140">
    <w:name w:val="Rodapé Char"/>
    <w:next w:val="1140"/>
    <w:link w:val="1139"/>
    <w:rPr>
      <w:sz w:val="24"/>
      <w:szCs w:val="24"/>
    </w:rPr>
  </w:style>
  <w:style w:type="paragraph" w:styleId="1141">
    <w:name w:val="Sumário 3"/>
    <w:basedOn w:val="1117"/>
    <w:next w:val="1117"/>
    <w:link w:val="1117"/>
    <w:semiHidden/>
    <w:rPr>
      <w:rFonts w:ascii="Calibri" w:hAnsi="Calibri"/>
      <w:sz w:val="22"/>
      <w:szCs w:val="22"/>
      <w:lang w:eastAsia="en-US"/>
    </w:rPr>
    <w:pPr>
      <w:ind w:left="440"/>
      <w:spacing w:lineRule="auto" w:line="276" w:after="100"/>
    </w:pPr>
  </w:style>
  <w:style w:type="paragraph" w:styleId="1142">
    <w:name w:val="Texto de balão"/>
    <w:basedOn w:val="1117"/>
    <w:next w:val="1142"/>
    <w:link w:val="1143"/>
    <w:semiHidden/>
    <w:rPr>
      <w:rFonts w:ascii="Tahoma" w:hAnsi="Tahoma"/>
      <w:sz w:val="16"/>
      <w:szCs w:val="16"/>
    </w:rPr>
  </w:style>
  <w:style w:type="character" w:styleId="1143">
    <w:name w:val="Texto de balão Char"/>
    <w:next w:val="1143"/>
    <w:link w:val="1142"/>
    <w:semiHidden/>
    <w:rPr>
      <w:rFonts w:ascii="Tahoma" w:hAnsi="Tahoma"/>
      <w:sz w:val="16"/>
      <w:szCs w:val="16"/>
    </w:rPr>
  </w:style>
  <w:style w:type="paragraph" w:styleId="1144">
    <w:name w:val="Texto de nota de rodapé"/>
    <w:basedOn w:val="1117"/>
    <w:next w:val="1144"/>
    <w:link w:val="1145"/>
  </w:style>
  <w:style w:type="character" w:styleId="1145">
    <w:name w:val="Texto de nota de rodapé Char"/>
    <w:next w:val="1145"/>
    <w:link w:val="1144"/>
    <w:semiHidden/>
  </w:style>
  <w:style w:type="paragraph" w:styleId="1146">
    <w:name w:val="Sumário 1"/>
    <w:basedOn w:val="1117"/>
    <w:next w:val="1117"/>
    <w:link w:val="1117"/>
    <w:semiHidden/>
  </w:style>
  <w:style w:type="paragraph" w:styleId="1147">
    <w:name w:val="Recuo de corpo de texto"/>
    <w:basedOn w:val="1117"/>
    <w:next w:val="1147"/>
    <w:link w:val="1117"/>
    <w:pPr>
      <w:ind w:left="283"/>
      <w:spacing w:after="120"/>
    </w:pPr>
  </w:style>
  <w:style w:type="table" w:styleId="1148">
    <w:name w:val="Tabela com grade"/>
    <w:basedOn w:val="1122"/>
    <w:next w:val="1148"/>
    <w:link w:val="1117"/>
    <w:tblPr/>
  </w:style>
  <w:style w:type="paragraph" w:styleId="1149">
    <w:name w:val="Cabeçalho do Sumário1"/>
    <w:basedOn w:val="1118"/>
    <w:next w:val="1117"/>
    <w:link w:val="1117"/>
    <w:pPr>
      <w:outlineLvl w:val="9"/>
    </w:pPr>
  </w:style>
  <w:style w:type="paragraph" w:styleId="1150">
    <w:name w:val="Default"/>
    <w:next w:val="1150"/>
    <w:link w:val="1117"/>
    <w:rPr>
      <w:color w:val="000000"/>
      <w:sz w:val="24"/>
      <w:szCs w:val="24"/>
      <w:lang w:val="pt-BR" w:bidi="ar-SA" w:eastAsia="pt-BR"/>
    </w:rPr>
  </w:style>
  <w:style w:type="paragraph" w:styleId="1151">
    <w:name w:val="01 - Texto"/>
    <w:basedOn w:val="1117"/>
    <w:next w:val="1151"/>
    <w:link w:val="1117"/>
    <w:rPr>
      <w:sz w:val="24"/>
    </w:rPr>
    <w:pPr>
      <w:ind w:firstLine="1134"/>
      <w:jc w:val="both"/>
      <w:spacing w:lineRule="auto" w:line="360"/>
    </w:pPr>
  </w:style>
  <w:style w:type="paragraph" w:styleId="1152">
    <w:name w:val="04 - Referências"/>
    <w:basedOn w:val="1117"/>
    <w:next w:val="1152"/>
    <w:link w:val="1117"/>
    <w:rPr>
      <w:sz w:val="24"/>
    </w:rPr>
    <w:pPr>
      <w:spacing w:after="240" w:before="240"/>
    </w:pPr>
  </w:style>
  <w:style w:type="paragraph" w:styleId="1153">
    <w:name w:val="4 Referências"/>
    <w:basedOn w:val="1117"/>
    <w:next w:val="1153"/>
    <w:link w:val="1117"/>
    <w:rPr>
      <w:sz w:val="24"/>
    </w:rPr>
    <w:pPr>
      <w:spacing w:after="240"/>
    </w:pPr>
  </w:style>
  <w:style w:type="paragraph" w:styleId="1154">
    <w:name w:val="Sem Espaçamento"/>
    <w:next w:val="1154"/>
    <w:link w:val="1117"/>
    <w:rPr>
      <w:lang w:val="pt-BR" w:bidi="ar-SA" w:eastAsia="pt-BR"/>
    </w:rPr>
  </w:style>
  <w:style w:type="paragraph" w:styleId="1155">
    <w:name w:val="western"/>
    <w:basedOn w:val="1117"/>
    <w:next w:val="1155"/>
    <w:link w:val="1117"/>
    <w:rPr>
      <w:rFonts w:ascii="Calibri" w:hAnsi="Calibri"/>
      <w:color w:val="00000A"/>
      <w:sz w:val="22"/>
      <w:szCs w:val="22"/>
    </w:rPr>
    <w:pPr>
      <w:spacing w:lineRule="auto" w:line="288" w:after="142" w:before="100" w:beforeAutospacing="1"/>
    </w:pPr>
  </w:style>
  <w:style w:type="paragraph" w:styleId="1156">
    <w:name w:val="Parágrafo da Lista"/>
    <w:basedOn w:val="1117"/>
    <w:next w:val="1156"/>
    <w:link w:val="1117"/>
    <w:rPr>
      <w:sz w:val="24"/>
      <w:szCs w:val="24"/>
    </w:rPr>
    <w:pPr>
      <w:ind w:left="708"/>
    </w:pPr>
  </w:style>
  <w:style w:type="character" w:styleId="1157" w:default="1">
    <w:name w:val="Default Paragraph Font"/>
    <w:uiPriority w:val="1"/>
    <w:semiHidden/>
    <w:unhideWhenUsed/>
  </w:style>
  <w:style w:type="numbering" w:styleId="1158" w:default="1">
    <w:name w:val="No List"/>
    <w:uiPriority w:val="99"/>
    <w:semiHidden/>
    <w:unhideWhenUsed/>
  </w:style>
  <w:style w:type="table" w:styleId="1159" w:default="1">
    <w:name w:val="Normal Table"/>
    <w:uiPriority w:val="99"/>
    <w:semiHidden/>
    <w:unhideWhenUsed/>
    <w:tbl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header" Target="header3.xml" /><Relationship Id="rId12" Type="http://schemas.openxmlformats.org/officeDocument/2006/relationships/footer" Target="footer1.xml" /><Relationship Id="rId13" Type="http://schemas.openxmlformats.org/officeDocument/2006/relationships/footer" Target="footer2.xml" /><Relationship Id="rId14" Type="http://schemas.openxmlformats.org/officeDocument/2006/relationships/footer" Target="footer3.xml" /></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 Id="rId3" Type="http://schemas.openxmlformats.org/officeDocument/2006/relationships/image" Target="media/image4.png"/><Relationship Id="rId4" Type="http://schemas.openxmlformats.org/officeDocument/2006/relationships/image" Target="media/image5.png"/><Relationship Id="rId5" Type="http://schemas.openxmlformats.org/officeDocument/2006/relationships/image" Target="media/image6.png"/><Relationship Id="rId6" Type="http://schemas.openxmlformats.org/officeDocument/2006/relationships/image" Target="media/image7.jpg"/><Relationship Id="rId7" Type="http://schemas.openxmlformats.org/officeDocument/2006/relationships/image" Target="media/image8.jpg"/></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 Id="rId1" Type="http://schemas.openxmlformats.org/officeDocument/2006/relationships/hyperlink" Target="https://forumseguranca.org.br/wp-content/uploads/2021/10/anuario-15-completo-v7-251021.pdf" TargetMode="External"/></Relationships>
</file>

<file path=word/_rels/header1.xml.rels><?xml version="1.0" encoding="UTF-8" standalone="yes"?><Relationships xmlns="http://schemas.openxmlformats.org/package/2006/relationships"><Relationship Id="rId1" Type="http://schemas.openxmlformats.org/officeDocument/2006/relationships/image" Target="media/image1.emf"/></Relationships>
</file>

<file path=word/_rels/header2.xml.rels><?xml version="1.0" encoding="UTF-8" standalone="yes"?><Relationships xmlns="http://schemas.openxmlformats.org/package/2006/relationships"></Relationships>
</file>

<file path=word/_rels/header3.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na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ONLYOFFICE/6.1.0.90</Application>
  <DocSecurity>0</DocSecurity>
  <HyperlinksChanged>false</HyperlinksChanged>
  <LinksUpToDate>false</LinksUpToDate>
  <ScaleCrop>false</ScaleCrop>
  <SharedDoc>false</SharedDoc>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revision>3</cp:revision>
  <dcterms:modified xsi:type="dcterms:W3CDTF">2022-10-31T05:01:28Z</dcterms:modified>
</cp:coreProperties>
</file>