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 RELAÇÕES UNIVERSIDADE-CIDADE NA PRODUÇÃO DE CONHECIMENTO SOCIAL GERADORAS DE INOVAÇÃO NO DESENVOLVIMENTO URBANO NAS CIDADES DO LITORAL PARANAENSE.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Leticia Ishisaki de Oliveira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(Unespar)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Unespar/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Campus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de </w:t>
      </w:r>
      <w:r w:rsidDel="00000000" w:rsidR="00000000" w:rsidRPr="00000000">
        <w:rPr>
          <w:sz w:val="24"/>
          <w:szCs w:val="24"/>
          <w:rtl w:val="0"/>
        </w:rPr>
        <w:t xml:space="preserve">Paranaguá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 e-mail:</w:t>
      </w:r>
      <w:r w:rsidDel="00000000" w:rsidR="00000000" w:rsidRPr="00000000">
        <w:rPr>
          <w:sz w:val="24"/>
          <w:szCs w:val="24"/>
          <w:rtl w:val="0"/>
        </w:rPr>
        <w:t xml:space="preserve"> leticia.oliveira.511@estudante.unespar.edu.br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Sebastião Cavalcanti Neto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Unespar/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Campus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de </w:t>
      </w:r>
      <w:r w:rsidDel="00000000" w:rsidR="00000000" w:rsidRPr="00000000">
        <w:rPr>
          <w:sz w:val="24"/>
          <w:szCs w:val="24"/>
          <w:rtl w:val="0"/>
        </w:rPr>
        <w:t xml:space="preserve">Paranaguá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– e-mail: </w:t>
      </w:r>
      <w:r w:rsidDel="00000000" w:rsidR="00000000" w:rsidRPr="00000000">
        <w:rPr>
          <w:sz w:val="24"/>
          <w:szCs w:val="24"/>
          <w:rtl w:val="0"/>
        </w:rPr>
        <w:t xml:space="preserve">sebastiao.cavalcanti@unespar.edu.br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Leandro Rodrigo Canto Bonfim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Unespar/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Campus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de </w:t>
      </w:r>
      <w:r w:rsidDel="00000000" w:rsidR="00000000" w:rsidRPr="00000000">
        <w:rPr>
          <w:sz w:val="24"/>
          <w:szCs w:val="24"/>
          <w:rtl w:val="0"/>
        </w:rPr>
        <w:t xml:space="preserve">Paranaguá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– e-mail: </w:t>
      </w:r>
      <w:r w:rsidDel="00000000" w:rsidR="00000000" w:rsidRPr="00000000">
        <w:rPr>
          <w:sz w:val="24"/>
          <w:szCs w:val="24"/>
          <w:rtl w:val="0"/>
        </w:rPr>
        <w:t xml:space="preserve">leandro.bonfim@unespar.edu.br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Programa Institucional de</w:t>
      </w:r>
      <w:r w:rsidDel="00000000" w:rsidR="00000000" w:rsidRPr="00000000">
        <w:rPr>
          <w:sz w:val="24"/>
          <w:szCs w:val="24"/>
          <w:rtl w:val="0"/>
        </w:rPr>
        <w:t xml:space="preserve"> Institucional de Bolsa de Iniciação em Desenvolvimento Tecnológico e Inovação - PIBITI</w:t>
      </w:r>
    </w:p>
    <w:p w:rsidR="00000000" w:rsidDel="00000000" w:rsidP="00000000" w:rsidRDefault="00000000" w:rsidRPr="00000000" w14:paraId="0000000E">
      <w:pPr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Grande Área do Conhecimento: Ci</w:t>
      </w:r>
      <w:r w:rsidDel="00000000" w:rsidR="00000000" w:rsidRPr="00000000">
        <w:rPr>
          <w:sz w:val="24"/>
          <w:szCs w:val="24"/>
          <w:rtl w:val="0"/>
        </w:rPr>
        <w:t xml:space="preserve">ências Sociais Aplicadas</w:t>
      </w:r>
    </w:p>
    <w:p w:rsidR="00000000" w:rsidDel="00000000" w:rsidP="00000000" w:rsidRDefault="00000000" w:rsidRPr="00000000" w14:paraId="00000010">
      <w:pPr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INTRODUÇÃO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Embora haja um interesse crescente na processo de globalização da economia, com foco na transição de uma sociedade e economia industrial para uma baseada no conhecimento, ainda há uma lacuna de estudos no que tange a forma como esse conhecimento é produzido e transmitido para a sociedade e também de como a inovação está inserida nesse meio. </w:t>
      </w:r>
    </w:p>
    <w:p w:rsidR="00000000" w:rsidDel="00000000" w:rsidP="00000000" w:rsidRDefault="00000000" w:rsidRPr="00000000" w14:paraId="00000015">
      <w:pPr>
        <w:spacing w:line="36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Assim, diferentes conceitos como o de cidades de conhecimento, cidades inovadoras e cidades criativas passaram a ter maior destaque em diversas áreas, entre elas, administração, economia, políticas públicas e desenvolvimento urbano. Dessa forma, as cidades passaram a ser vistas como peças chave do crescimento, desenvolvimento econômico e inovação. (SHEARMUR, 2012; YIGITCANLAR; O’CONNOR; WESTERMAN, 2008).</w:t>
      </w:r>
    </w:p>
    <w:p w:rsidR="00000000" w:rsidDel="00000000" w:rsidP="00000000" w:rsidRDefault="00000000" w:rsidRPr="00000000" w14:paraId="00000016">
      <w:pPr>
        <w:spacing w:line="36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Apesar desses fatores, o desenvolvimento urbano não irá ocorrer sem custos, haja visto que o constante crescimento das áreas urbanas aumentou os desafios do modelo atual de planejamento urbano, que baseia-se no tripé do uso do solo, transporte e ambiente. (JEDWAB; CHRISTIAENSEN; GINDELSKY, 2017; WADDELL, 2002). Tais desafios ficam mais evidentes e fáceis de observar em países que ainda estão em desenvolvimento, como o Brasil.(ZOUAIN; PLONSKI, 2015).</w:t>
      </w:r>
    </w:p>
    <w:p w:rsidR="00000000" w:rsidDel="00000000" w:rsidP="00000000" w:rsidRDefault="00000000" w:rsidRPr="00000000" w14:paraId="00000017">
      <w:pPr>
        <w:spacing w:line="36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Nesse cenário, as universidades podem ser consideradas como organizações centrais na solução desses problemas que surgem a partir do rápido desenvolvimento urbano, tendo em vista que atuam tanto como produtoras de conhecimento como difusoras deste conhecimento para a sociedade. </w:t>
      </w:r>
    </w:p>
    <w:p w:rsidR="00000000" w:rsidDel="00000000" w:rsidP="00000000" w:rsidRDefault="00000000" w:rsidRPr="00000000" w14:paraId="00000018">
      <w:pPr>
        <w:spacing w:line="36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Porém, não é qualquer conhecimento produzido pelas universidades que irá proporcionar inovação no meio do desenvolvimento urbano. O conhecimento social que é o foco deste artigo é aquele que apresenta tanto utilidade quanto impacto social aos cidadãos habitantes do contexto urbano (TALBOT, 2017). Segundo BENNEWORTH; PINHEIRO; SANCHEZ-BARRIOLUENGO (2016), esse conhecimento social é aquele que "entrega valor público à sociedade em retorno aos investimentos públicos"</w:t>
      </w:r>
    </w:p>
    <w:p w:rsidR="00000000" w:rsidDel="00000000" w:rsidP="00000000" w:rsidRDefault="00000000" w:rsidRPr="00000000" w14:paraId="00000019">
      <w:pPr>
        <w:spacing w:line="36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acordo com Boggs (1992), a produção de conhecimento social é considerada como uma troca e colaboração entre os agentes produtores, no caso as universidades, e os usuários desse conhecimento, os criadores de políticas públicas. Porém, há um contra argumento, que os reais usuários de conhecimento social são os cidadãos que são afetados pelo desenvolvimento urbano, e os produtores de conhecimento são as universidades, instituições públicas e empresas que de alguma forma estejam envolvidas na solução de problemas ocorridos em meio urbano. Tal argumento é apresentado no modelo da Tripla Hélice, em que a inovação e o desenvolvimento urbano são resultado do relacionamento existente entre universidades, indústria e governo. (ETZKOWITZ, 2003; LEYDESDORFF; ETZKOWITZ, 1996). </w:t>
      </w:r>
    </w:p>
    <w:p w:rsidR="00000000" w:rsidDel="00000000" w:rsidP="00000000" w:rsidRDefault="00000000" w:rsidRPr="00000000" w14:paraId="0000001A">
      <w:pPr>
        <w:spacing w:line="36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Nesse contexto, será analisada a produção de conhecimento social pelas universidades que leva ao desenvolvimento urbano no litoral do Paraná e a existência e relacionamento de projetos colaborativos entre as universidades e cidades. </w:t>
      </w:r>
    </w:p>
    <w:p w:rsidR="00000000" w:rsidDel="00000000" w:rsidP="00000000" w:rsidRDefault="00000000" w:rsidRPr="00000000" w14:paraId="0000001B">
      <w:pPr>
        <w:tabs>
          <w:tab w:val="left" w:pos="1890"/>
        </w:tabs>
        <w:spacing w:line="360" w:lineRule="auto"/>
        <w:ind w:left="0" w:firstLine="0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MATERIAIS E MÉTODOS 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pesquisa será desenvolvida utilizando se de técnicas qualitativas de pesquisa e análise de dados. Primeiramente, será construído um corpus teórico a fim de se obter uma visão geral do que já foi publicado acerca do tema principal da pesquisa. Em seguida, a partir dos dados levantados inicialmente será realizada a revisão de literatura e a identificação dos projetos colaborativos entre universidades-cidades voltados à inovação e ao desenvolvimento urbano do litoral do Paraná. Por fim os dados coletados previamente serão catalogados de forma a mostrar os projetos existentes e qual o seu papel e importância no processo de desenvolvimento e inovação nas cidades do litoral paranaense. </w:t>
      </w:r>
    </w:p>
    <w:p w:rsidR="00000000" w:rsidDel="00000000" w:rsidP="00000000" w:rsidRDefault="00000000" w:rsidRPr="00000000" w14:paraId="0000001F">
      <w:pPr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revisão de literatura foi conduzida da seguinte forma: realizou-se uma busca nas revistas listadas no "Financial Times Top 50 Journals List", nas áreas de gestão e recursos humanos. A database foi escolhida por conter uma grande variedade de revistas e listar as mais relevantes para as áreas pesquisadas.</w:t>
      </w:r>
    </w:p>
    <w:p w:rsidR="00000000" w:rsidDel="00000000" w:rsidP="00000000" w:rsidRDefault="00000000" w:rsidRPr="00000000" w14:paraId="00000020">
      <w:pPr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todas as revistas o termo pesquisado foi "social knowledge", presentes tanto no abstract quanto no corpo do texto. Ao final dessa busca, foram registrados 49 artigos, sendo 33 desses artigos da área de gestão e 16 da área de recursos humanos.</w:t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Tabela 1 -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Revistas com artigos publicados citando o termo "social knowledge"</w:t>
      </w:r>
    </w:p>
    <w:tbl>
      <w:tblPr>
        <w:tblStyle w:val="Table1"/>
        <w:tblW w:w="90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5.5"/>
        <w:gridCol w:w="4535.5"/>
        <w:tblGridChange w:id="0">
          <w:tblGrid>
            <w:gridCol w:w="4535.5"/>
            <w:gridCol w:w="4535.5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da revista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Número de artigos publicados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Academy of Management Review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Human Relations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Academy of Management Journal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Administrative Science Quarterly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Human Resource Management Journal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2F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Entre essa relação de 49 artigos, apenas 4 deles apresentaram uma definição de conhecimento social, porém, entre essas definições encontradas não há um consenso sobre o que se define como conhecimento social. Posteriormente, na análise foi possível perceber que o termo conhecimento social é usado de uma forma muito ampla e nem sempre no contexto buscado inicialmente na pesquisa. </w:t>
      </w:r>
    </w:p>
    <w:p w:rsidR="00000000" w:rsidDel="00000000" w:rsidP="00000000" w:rsidRDefault="00000000" w:rsidRPr="00000000" w14:paraId="00000031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 partir da pesquisa realizada, é possível perceber que não há consenso entre os autores quanto a uma definição de "conhecimento social", porém, o conceito que mais se assemelha ao objetivo da pesquisa é o terceiro conceito, proposto por Rabi S. Bhagat, Ben L. Kedia, Paula D. Harveston and Harry C. Triandis. Para fins deste artigo, será proposto um conceito para o termo "conhecimento social" e o mesmo será compreendido como a forma de conhecimento resultante de ações integrativas entre as universidades e as cidades, visando promover desenvolvimento urbano, social, econômico </w:t>
      </w:r>
      <w:r w:rsidDel="00000000" w:rsidR="00000000" w:rsidRPr="00000000">
        <w:rPr>
          <w:sz w:val="24"/>
          <w:szCs w:val="24"/>
          <w:rtl w:val="0"/>
        </w:rPr>
        <w:t xml:space="preserve">ou sustentável</w:t>
      </w:r>
      <w:r w:rsidDel="00000000" w:rsidR="00000000" w:rsidRPr="00000000">
        <w:rPr>
          <w:sz w:val="24"/>
          <w:szCs w:val="24"/>
          <w:rtl w:val="0"/>
        </w:rPr>
        <w:t xml:space="preserve"> nas cidades em que estas universidades são atuantes. 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Tabela 2 -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Definições encontradas de "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social knowledge</w:t>
      </w:r>
      <w:r w:rsidDel="00000000" w:rsidR="00000000" w:rsidRPr="00000000">
        <w:rPr>
          <w:b w:val="1"/>
          <w:sz w:val="24"/>
          <w:szCs w:val="24"/>
          <w:rtl w:val="0"/>
        </w:rPr>
        <w:t xml:space="preserve">"</w:t>
      </w:r>
    </w:p>
    <w:tbl>
      <w:tblPr>
        <w:tblStyle w:val="Table2"/>
        <w:tblW w:w="90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5.5"/>
        <w:gridCol w:w="4535.5"/>
        <w:tblGridChange w:id="0">
          <w:tblGrid>
            <w:gridCol w:w="4535.5"/>
            <w:gridCol w:w="4535.5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Autor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Definição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T. K. Das and Bing-Sheng Teng (1998)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Nevertheless, social knowledge—that is, the ability to under-stand and predict others' behavior—is not the same as trust, which is a sense of goodwill and reliability. [Page 495]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Janine Nahapiet and Sumantra Ghoshal (1998)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The other two elements of an organization's intellectual capital are social explicit knowledge (what Spender calls "objectified knowledge") and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social tacit knowledge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("collective knowledge," in Spender's terms). [...] The latter represents the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knowledge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that is fundamentally embedded in the forms of social and institutional practice and that resides in the tacit experiences and enactment of the collec-tive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(Brown &amp; Duguid, 1991). Such knowledge and knowing capacity may remain relatively hidden from individual actors but be accessible and sustained through their interaction (Spend-er, 1994). [Page 247]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Rabi S. Bhagat, Ben L. Kedia, Paula D. Harveston and Harry C. Triandis (2002)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both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Social knowledge exists in relationships among individuals or within groups.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Social or collective knowledge is largely tacit, composed of cultural norms that exist as a result of working together, and its salience is reflected in our ability to collaborate</w:t>
            </w:r>
          </w:p>
          <w:p w:rsidR="00000000" w:rsidDel="00000000" w:rsidP="00000000" w:rsidRDefault="00000000" w:rsidRPr="00000000" w14:paraId="0000003C">
            <w:pPr>
              <w:widowControl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and develop transactional relationships.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[Page 206] Social knowledge can be either simple or complex and is largely tacit and systemic in character. [Page 207]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David Obstfeld (2005)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Social knowledge was defined as broad access to current and often unofficial information about the activity in various areas surrounding the G5’s (new vehicle that was being developed) development. [Page 113]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RESULTADOS E DISCUSSÕES 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 realizar a pesquisa acerca dos projetos colaborativos entre as universidades e cidades, optou-se por pesquisar por projetos de extensão desenvolvidos somente pelas universidades públicas do litoral paranaense, sendo elas: Universidade Estadual do Paraná - UNESPAR campus Paranaguá; Instituto Federal de Educação do Paraná - IFPR campus Paranaguá; Universidade Federal do Paraná - UFPR Litoral campus Matinhos; Centro de Estudos do Mar - CEM UFPR campus Pontal do Paraná. </w:t>
      </w:r>
    </w:p>
    <w:p w:rsidR="00000000" w:rsidDel="00000000" w:rsidP="00000000" w:rsidRDefault="00000000" w:rsidRPr="00000000" w14:paraId="00000043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Abaixo, estão listados os projetos de extensão identificados com foco não somente apenas na área de inovação, como também com foco no desenvolvimento do litoral paranaense e na transmissão e disseminação de conhecimento para a comunidade litorânea. </w:t>
      </w:r>
    </w:p>
    <w:p w:rsidR="00000000" w:rsidDel="00000000" w:rsidP="00000000" w:rsidRDefault="00000000" w:rsidRPr="00000000" w14:paraId="00000044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projetos em execução no IFPR estão disponíveis para consulta no Portal da Transparência SISCOPE, onde é possível filtrar por campus quais os projetos que estão ativos atualmente. Foram encontrados 73 projetos ativos no campus de Paranaguá, sendo 6 deles relacionados à área da pesquisa. 3 desses projetos pertencem à área da inovação e 3 promovem a disseminação de conhecimento para a comunidade local. </w:t>
      </w:r>
    </w:p>
    <w:p w:rsidR="00000000" w:rsidDel="00000000" w:rsidP="00000000" w:rsidRDefault="00000000" w:rsidRPr="00000000" w14:paraId="00000045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relação a UNESPAR, os projetos do campus de Paranaguá estão listados em uma tabela disponível no site da Instituição. Foram identificados 61 projetos, dos quais 7 relacionam-se com a área da pesquisa, sendo 1 pertencente à área da inovação e 6 com o intuito de disseminar conhecimento no litoral do Paraná. </w:t>
      </w:r>
    </w:p>
    <w:p w:rsidR="00000000" w:rsidDel="00000000" w:rsidP="00000000" w:rsidRDefault="00000000" w:rsidRPr="00000000" w14:paraId="00000046">
      <w:pPr>
        <w:spacing w:line="360" w:lineRule="auto"/>
        <w:ind w:firstLine="720"/>
        <w:jc w:val="both"/>
        <w:rPr>
          <w:sz w:val="24"/>
          <w:szCs w:val="24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38" w:w="11906" w:orient="portrait"/>
          <w:pgMar w:bottom="1134" w:top="1701" w:left="1701" w:right="1134" w:header="709" w:footer="601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Existem dois campus da UFPR no litoral. No campus Matinhos há um site com a relação dos projetos ativos no campus, porém, é possível consultar apenas o nome dos projetos e o coordenador responsável, o resumo e a área de atuação não estão disponíveis. No campus CEM em Pontal do Paraná, também é possível encontrar uma listagem dos projetos em execução, entretanto, como ocorre no campus de Matinhos, só é possível ter acesso ao nome do projeto e o qual o coordenador responsável pelo mesmo. </w:t>
      </w:r>
    </w:p>
    <w:p w:rsidR="00000000" w:rsidDel="00000000" w:rsidP="00000000" w:rsidRDefault="00000000" w:rsidRPr="00000000" w14:paraId="00000047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Após uma busca realizada de forma manual através do título dos projetos, não foram identificados projetos ativos atualmente que se enquadram na área de inovação e de disseminação de conhecimento para a comunidade local. </w:t>
      </w:r>
    </w:p>
    <w:p w:rsidR="00000000" w:rsidDel="00000000" w:rsidP="00000000" w:rsidRDefault="00000000" w:rsidRPr="00000000" w14:paraId="00000048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Tabela 3 - Projetos identificados na UNESPAR campus Paranaguá</w:t>
      </w:r>
      <w:r w:rsidDel="00000000" w:rsidR="00000000" w:rsidRPr="00000000">
        <w:rPr>
          <w:rtl w:val="0"/>
        </w:rPr>
      </w:r>
    </w:p>
    <w:tbl>
      <w:tblPr>
        <w:tblStyle w:val="Table3"/>
        <w:tblW w:w="140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15"/>
        <w:gridCol w:w="1530"/>
        <w:gridCol w:w="6720"/>
        <w:gridCol w:w="1215"/>
        <w:gridCol w:w="1725"/>
        <w:tblGridChange w:id="0">
          <w:tblGrid>
            <w:gridCol w:w="2815"/>
            <w:gridCol w:w="1530"/>
            <w:gridCol w:w="6720"/>
            <w:gridCol w:w="1215"/>
            <w:gridCol w:w="1725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Título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Coordenador 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Resumo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Campus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Tipo de Projeto</w:t>
            </w:r>
          </w:p>
        </w:tc>
      </w:tr>
      <w:tr>
        <w:trPr>
          <w:cantSplit w:val="0"/>
          <w:trHeight w:val="2373.984375" w:hRule="atLeast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Gestão estratégica para a inovação e desenvolvimento profissional em comunidades socialmente vulneráveis no litoral do Paraná: um elo entre a cidade e o campo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Adilson Anacleto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Famílias remanescentes de comunidades caiçaras em condições de vulnerabilidade social em áreas urbanas e rurais que necessitem de renda financeira para a mitigação da condição de pobreza no litoral do Paraná, sendo localidades com baixo IDH os municípios de Morretes, Antonina, Guaraqueçaba, Matinhos, Guaratuba, Paranaguá e Pontal do Paraná; estudantes oriundos da zona rural em condições de vulnerabilidade inseridos no ambiente universitário.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Paranaguá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Projeto USF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Plataforma Apoena Motirõ (em tramitação inicial)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Monica Herek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Este projeto tem por objetivo desenvolver uma plataforma de interação e de difusão de conhecimentos financeiros, economia solidária e de consumo consciente destinado aos jovens das comunidades do litoral paranaense no sentido de estimular a sua emancipação por meio de princípios que valorizam o desenvolvimento social e econômico desconcentrado.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Paranaguá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Projeto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Integração do curso de Ciências Contábeis da UNESPAR -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campus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de Paranaguá com as comunidades do litoral do Paraná: conhecimento compartilhado que multiplica oportunidades (Prot.16.287.138-2) 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Dulce Mara Nunhez Dias 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 projeto de extensão tem como objetivo prestar orientação contábil-financeira às comunidades do litoral paranaense. Estrutura-se em dois pilares, o compartilhamento de conhecimento e a multiplicação de oportunidades. Os resultados esperados são o desenvolvimento econômico e profissional dos participantes.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Paranaguá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Projeto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Hotel de ideias/projetos: Inovação e Tecnologia em evidência - vinculado ao NIT (Prot.16.688.290-7)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Roselis N Mazzuchetti 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Um dos objetivos do Núcleo de Inovação Tecnológica da Unespar é “identificar, incentivar e criar ideais para a realização de negócios inovadores para o desenvolvimento socioeconômico regional”. Daí surge a criação deste projeto que busca estimular ideias de negócios, produtos e processos inovadores vinda de universitários e/ou da comunidade externa. Para tanto, utilizará metodologias como o Design Thinking, Lean Startup, Service Design, New Product Development e New Service Development para a consolidação das ideias/projetos e que orientará grupos de trabalho no desenvolvimento das ideias, projetos, produtos, serviços e sistema produto-serviço. Espera-se que os resultados atraiam investidores para a implementação do (s) projeto(s), assim como, proporcione vivência e aprendizagem à acadêmicos que orientarão o design do projeto.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Paranaguá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Projeto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Meliponicultura: uma atividade sustentável para famílias no litoral paranaense (Prot.17.811.035-7)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Roselis N Mazzuchetti 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Prototipação é a viabilização de uma ideia, a passagem do abstrato para o físico de forma a representar a realidade, onde ocorre validações. O objetivo deste projeto é tangibilizar o conceito de uma ideia para melhoria ou soluções de problemas empresariais ou de serviços públicos no município de Paranaguá. Serão utilizados o Design Thinking, Lean Startup e Ágil que são metodologias conhecidas por incentivar uma mentalidade mão na massa e a realização de ciclos de testes frequentes. O projeto envolverá acadêmicos do curso de Engenharia de Produção e os atores sociais que contribuirão com os saberes construídos em sua prática cotidiana, em seu fazer profissional ou vivência comunitária para a validação de ideias por meio de testes. Espera-se que ocorra a interação dialógica da Universidade para a Sociedade e da Sociedade para a Universidade e a indissociabilidade Ensino – Pesquisa – Extensão.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Paranaguá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Projeto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Olhar empreendedor: transforme suas ideias em futuros negócios (Prot.17.542.326-5)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Fernando Henrique Lermen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 projeto visa criar oportunidades de desenvolvimento de práticas e métodos para a  oferta de soluções inovadoras em políticas públicas, estratégias e questões educacionais que sejam empreendedoras e que suportem o desenvolvimento de uma economia circular e criadora à região litorânea paranaense.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Paranaguá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Projeto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Elas inspiram</w:t>
            </w:r>
          </w:p>
          <w:p w:rsidR="00000000" w:rsidDel="00000000" w:rsidP="00000000" w:rsidRDefault="00000000" w:rsidRPr="00000000" w14:paraId="0000006E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(Prot.17.942.383-9)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Camila Matos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 Projeto “Elas inspiram” será organizado e executado por professoras e acadêmicas do curso de Engenharia de Produção da Unespar – Campus de Paranaguá. Um projeto Piloto, iniciará no segundo semestre de 2021 com encontros virtuais mensais. O objetivo é proporcionar a troca de experiências e conhecimentos em uma roda de mulheres, com temas diversos para pensar e cuidar das questões do feminino e da Mulher, como por exemplo, os desafios e transformações como mulher na atualidade. O projeto permitirá a interação entre alunas de todos os períodos dos cursos, de outras universidades, bem como, com egressas e toda a comunidade interessada em participar, além de ser uma oportunidade de compartilhar e conhecer a vivência de problemas, dificuldades e desafios; construção de oportunidades e soluções, relacionados ao público feminino.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Paranaguá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Projeto</w:t>
            </w:r>
          </w:p>
        </w:tc>
      </w:tr>
    </w:tbl>
    <w:p w:rsidR="00000000" w:rsidDel="00000000" w:rsidP="00000000" w:rsidRDefault="00000000" w:rsidRPr="00000000" w14:paraId="00000073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Tabela 4 - Projetos identificados no IFPR campus Paranaguá</w:t>
      </w:r>
    </w:p>
    <w:tbl>
      <w:tblPr>
        <w:tblStyle w:val="Table4"/>
        <w:tblW w:w="139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710"/>
        <w:gridCol w:w="7575"/>
        <w:gridCol w:w="1215"/>
        <w:gridCol w:w="1695"/>
        <w:tblGridChange w:id="0">
          <w:tblGrid>
            <w:gridCol w:w="1800"/>
            <w:gridCol w:w="1710"/>
            <w:gridCol w:w="7575"/>
            <w:gridCol w:w="1215"/>
            <w:gridCol w:w="1695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Título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Coordenador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Resumo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Campus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Tipo de Projeto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SRI: Sistema Regional de Inovação: "Projeto de Gestão e Promoção de Produtos da produção Artesanal do Litoral do Paraná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Elvis Canteri de Andrade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hd w:fill="ffffff" w:val="clear"/>
              <w:spacing w:after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 sistemas de informação possuem papel estratégico nas grandes e micro empresas, sendo utilizados principalmente para estreitar e para estruturar a comunicação com seus públicos e seus clientes, bem como na comercialização de produtos. Esta perspectiva também pode ser expandida a produtores artesanais. O presente projeto tem o interesse de conhecer, capacitar e desenvolver sistemas de informação para micro empresas e para empreendedores individuais que estejam relacionados à produção artesanal do litoral do Paraná, com a finalidade de aplicar melhorias na função de controle, armazenamento, logística e apoio à gestão. Para viabilizar a proposta inicial do projeto, firmou-se uma parceria para um estudo de caso na empresa "Olha o peixe" com foco em fortalecer a pesca artesanal paranaense e proporcionar uma maior valorização do que é pescado regionalmente, em negociações mais justas com os pescadores, definindo conjuntamente os preços de compra dos pescados. O objetivo do projeto será realizar o levantamento dos métodos do sistema de informação atualmente utilizado e melhorar os processos de software. O desenvolvimento da solução tecnológica será realizada em etapas distintas com foco em gestão de produtos, logística e e-commerce, respectivamente. Com o desenvolvimento desta ferramenta integrada de gestão e venda de produtos artesanais, teremos a base de uma plataforma que poderá ser aplicada a toda produção pesqueira, de artesanato e de produção agrícola familiar caiçara do litoral do Paraná.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Paranaguá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Inovação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Polímera: criando uma cadeia produtiva solidária para o plástico interceptado e recuperado do 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Allan Paul Krelling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 cadeia produtiva linear do plástico é insustentável, socioambiental e economicamente. O plástico representa entre 60 e 90% do lixo do mar, causando impactos significativos nos ecossistemas costeiros e marinhos. Nossa proposta é transformar essa cadeia linear em cíclica, por meio da reciclagem e agregação de valor à matéria prima a ser vendida triturada, peletizada ou transformada. Para isso, iremos criar um equipamento piloto, de baixo custo, baseado no modelo aberto Precious Plastic. Duas estratégias de obtenção dos resíduos serão utilizadas: na fonte de geração- plástico interceptado - coletando o material das áreas de acúmulo em pontos insulares, experimentalmente na Ilha das Peças, Guaraqueçaba-PR, evitando a entrada nos oceanos; e no sumidouro (praias - plástico recuperado) por meio de mutirões de coleta com o auxílio dos moradores locais. A partir dos princípios da economia solidária, quando o projeto estiver em pleno funcionamento, os resíduos gerados e coletados pela comunidade serão vendidos ao projeto, com preço justo, estabelecido de forma participativa, considerando os custos de manutenção do equipamento e equipe de operação do projeto para a sua sustentabilidade financeira. Os resíduos serão transportados até o IFPR, onde serão transformados em matéria prima e/ou em produtos e vendidos para os potenciais compradores identificados. A logística que envolve a transformação, transporte e venda poderá ser adaptada, visando a redução dos custos. Como resultados, esperamos que este modelo piloto seja economicamente viável e a manutenção seja viabilizada pela venda de produtos com valor agregado; que esta seja uma nova fonte de renda para a comunidade; que, futuramente, a metodologia possa ser replicada em outras comunidades e nas próprias cooperativas de materiais recicláveis. Em paralelo, almejamos contribuir com a conservação da biodiversidade, de acordo com os ODS, ao reduzir a quantidade de plástico nos oceanos e, consequentemente, a interação negativa destes com a fauna e os ecossistemas costeiros.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Paranaguá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Inovação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hd w:fill="ffffff" w:val="clear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Litoral Agroecológico: Apoio Interinstitucional ao Desenvolvimento da Agroecologia no Litoral Paranaense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Ezequiel Antonio de Moura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hd w:fill="ffffff" w:val="clear"/>
              <w:spacing w:after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Este projeto originou-se de projetos anteriores e de articulações com diversos sujeitos que atuam com Agroecologia no litoral do Paraná (agricultores, técnicos de ATER, professores, extensionistas, pesquisadores, estudantes). Este projeto que visa fortalecer ações em andamento e outras propostas relacionadas à Agricultura Familiar e Agroecologia no litoral paranaense. Dentre os objetivos do projeto consta a sistematização de materiais produzidos e de experiências agroecológicas desenvolvidas no litoral; levantamento de propriedades orgânicas certificadas e de outras unidades familiares com experiências agroecológicas, agroflorestais e/ou práticas tradicionais de manejo da sociobiodiversidade. Durante o projeto está previsto um levantamento de demandas por parte dos agricultores e instituições envolvidas. A partir disso serão realizadas oficinas, atividades de formação, de incentivo à comercialização e consumo de produtos orgânicos, dentre outras ações de promoção da Agroecologia a serem definidas e realizadas conjuntamente com agricultores(as) e representantes das instituições envolvidas.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Paranaguá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Extensão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hd w:fill="ffffff" w:val="clear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Hotel Tecnológico: análise do ecossistema de inovação tecnológica na região do Litoral do Paraná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Leandro Angelo Pereira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hd w:fill="ffffff" w:val="clear"/>
              <w:spacing w:after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O papel das instituições de ensino superior transcende as atividades relacionadas à fixação de conteúdos para a formação de um profissional que possa atuar no mercado de trabalho. Corroborando com esta ideia, as instituições de ensino superior, dentre estas o IFPR, possuem como atividade fim a execução de trabalhos que possibilitem a pesquisa e que passem de projetos acadêmicos e ganhem um formato aprimorado e possam gerar resultados que para a melhoria da sociedade, associado com o desenvolvimento econômico e proteção da natureza. A promoção de um ambiente inovador e empreendedor pode servir de aprimoramento das pesquisas que são realizadas pelas instituições de ensino, a aproximação dessa rede entre as instituições públicas e privadas podem gerar novas fontes de investimentos para a região. Diante disso, com o objetivo de promover e acelerar práticas empreendedoras na região, e que tenham um cunho tecnológico e que apresentem soluções baseadas na natureza, bem como sua preservação e conversação, o projeto busca utilizar-se do modelo de incubadora tecnológica para avaliar as diferentes ações no ecossistema de inovação do Litoral do Paraná. Outro fator importante para o projeto está ligada as grandes empresas que possuem na região e estão ligadas direta ou indiretamente com as atividades portuárias e ao desenvolvimento tecnológico, essas possuindo um recorte metodológico relacionado ao desenvolvimento de parcerias para promover e apoiar pesquisas para resolver problemas socioambientais. Além do que já foi a presente proposta pretende levantar informações e analisar a região do litoral do Paraná para avaliar a implantação de uma incubadora ou Hotel tecnológico com ações voltadas a negócios relacionados com a Conservação da Natureza na Mata Atlântica.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Paranaguá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Inovação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hd w:fill="ffffff" w:val="clear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Desenvolvimento de um respirador mecânico de baixo custo baseado em componentes de mercado 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Rafael Rogora Kawano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hd w:fill="ffffff" w:val="clear"/>
              <w:spacing w:after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Os respiradores mecânicos serão um dos os insumos do sistema de saúde mais escassos durante o pico das internações pelo COVID-19. Está havendo um esforço de diversos segmentos da sociedade para a aquisição, importação e fabricação de respiradores, mesmo assim, há a necessidade de buscar outras alternativas face ao cenário de escassez. Com este projeto, um respirador mecânico será desenvolvido de forma a permitir sua fabricação com componentes de disponibilidade local, a um custo inferior a R$1.000,00 e sem a necessidade de infraestrutura sofisticada para a fabricação, assim como prescindindo de pessoas com formação ou experiência na área de fabricação. Para tanto, a ferramenta de projeto Mapa de Produto será aplicada, com o objetivo da simplificação dos componentes, para subsidiar a busca por itens que possuam menor complexidade, menor custo e maior disponibilidade local. Com os recursos solicitados referentes a uma cota de R$5.000,00 de acordo com o Edital nº12/2020 - Chamada Interna de apoio a projetos de Extensão, Pesquisa e Inovação para o enfrentamento da emergência de saúde pública de importância internacional decorrente do Coronavírus (COVID-19) é prevista a fabricação de pelo menos um protótipo para o desenvolvimento, que ao final também poderá ser doado a alguma instituição de saúde local. Para tanto, o laboratório Lemarde FabLab IFPR Campus Paranaguá, que já atua na Extensão do campus, colocará à disposição sua estrutura física para as atividades de desenvolvimento. Cabe ressaltar que o grande resultado esperado desta proposta é a disponibilização do projeto para a fabricação por empresa parceira, com o oferecimento de assistência técnica por parte dos colaboradores do projeto.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Paranaguá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Estratégicos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hd w:fill="ffffff" w:val="clear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Aplicação dos conceitos de Economia popular e solidária com Planejamento Econômico para o coletivo de mulheres, denominado ‘Mulheres em Movimento no Litoral,’ da cidade de Paranaguá - PR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Valéria Borges Ribeiro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hd w:fill="ffffff" w:val="clear"/>
              <w:spacing w:after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Este projeto trata da proposição de conhecimentos em Economia Popular e Solidária e Planejamento Econômico para capacitação de um grupo, composto por 15 (quinze) a 20 (vinte) mulheres, que compõe um coletivo denominado de “Mulheres em Movimento no Litoral” - vinculadas à atividades no IFPR campus Paranaguá – PR / Eixo Proeja - para que realizem o planejamento de suas atividades bem como a gestão econômico-financeira, de estoques e marketing de seus produtos artesanais, uma vez que os mesmos já são comercializados em feiras e eventos locais e regionais. O grupo carece de empoderamento feminino e acesso à conhecimento, pois as mulheres, muitas advindas de situação com total vulnerabilidade sócio-econômica, tendo moradia na periferia do município e enfrentando situações até de violência doméstica. Assim é de suma importância, que o coletivo de mulheres seja capacitado para que otimizem sua produção e vendas e possam melhorar ainda mais a renda familiar, fortalecendo o grupo perante a comunidade e fomentando mais iniciativas como esta enaltecendo os saberes e cultura regional.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Paranaguá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Extensão</w:t>
            </w:r>
          </w:p>
        </w:tc>
      </w:tr>
    </w:tbl>
    <w:p w:rsidR="00000000" w:rsidDel="00000000" w:rsidP="00000000" w:rsidRDefault="00000000" w:rsidRPr="00000000" w14:paraId="00000098">
      <w:pPr>
        <w:spacing w:line="360" w:lineRule="auto"/>
        <w:jc w:val="both"/>
        <w:rPr>
          <w:sz w:val="24"/>
          <w:szCs w:val="24"/>
        </w:rPr>
        <w:sectPr>
          <w:type w:val="nextPage"/>
          <w:pgSz w:h="11906" w:w="16838" w:orient="landscape"/>
          <w:pgMar w:bottom="1133.8582677165355" w:top="1700.7874015748032" w:left="1700.7874015748032" w:right="1133.8582677165355" w:header="709" w:footer="60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jc w:val="both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CONSIDERAÇÕES FINAIS </w:t>
      </w:r>
    </w:p>
    <w:p w:rsidR="00000000" w:rsidDel="00000000" w:rsidP="00000000" w:rsidRDefault="00000000" w:rsidRPr="00000000" w14:paraId="0000009A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acordo com as informações coletadas por meio da pesquisa, foi possível perceber que a definição de conhecimento social ainda é muito vaga e pode ter diferentes significados dependendo da formação e do contexto em que o termo está sendo utilizado pelo autor. As universidades mostram-se envolvidas com a disseminação de conhecimento nas cidades em que são atuantes, haja vista o número de projetos que envolvem ações com a comunidade. Uma questão a ser observada de forma mais intensiva é a forma como esses projetos levam inovação e conhecimento para a sociedade e de que forma esse conhecimento contribui para o desenvolvimento econômico, urbano, social e sustentável das cidades. Para mensurar o real impacto dos projetos listados, é necessário que haja um acompanhamento durante o seu desenvolvimento, de forma a registrar quais estratégias foram adotadas na difusão do conhecimento e o quão eficiente tais estratégias foram na missão de difundir o conhecimento para a sociedade.</w:t>
      </w:r>
    </w:p>
    <w:p w:rsidR="00000000" w:rsidDel="00000000" w:rsidP="00000000" w:rsidRDefault="00000000" w:rsidRPr="00000000" w14:paraId="0000009C">
      <w:pPr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Podemos concluir que existem sim, projetos com o intuito de difundir a inovação e o conhecimento produzido pelas Universidades para as cidades em que elas estão inseridas, porém ainda há o obstáculo da falta de divulgação e informações acerca dos projetos em execução atualmente, podendo citar como exemplo o caso da UFPR aqui retratado no artigo: estão listados os nomes dos projetos porém quando se busca mais informação sobre os mesmos, ou essa informação está indisponível para consulta ou encontra-se um erro no sistema de busca dos projetos. </w:t>
      </w:r>
    </w:p>
    <w:p w:rsidR="00000000" w:rsidDel="00000000" w:rsidP="00000000" w:rsidRDefault="00000000" w:rsidRPr="00000000" w14:paraId="0000009D">
      <w:pPr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36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REFERÊNCIAS BIBLIOGRÁFICAS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36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2021 Projetos de Extensão e Cultura DEC/Pguá — Universidade Estadual do Paraná Campus de Paranaguá. </w:t>
      </w:r>
      <w:r w:rsidDel="00000000" w:rsidR="00000000" w:rsidRPr="00000000">
        <w:rPr>
          <w:sz w:val="24"/>
          <w:szCs w:val="24"/>
          <w:rtl w:val="0"/>
        </w:rPr>
        <w:t xml:space="preserve">Disponível em: &lt;https://paranagua.unespar.edu.br/assuntos/divisao-de-extensao/copy_of_dec-2020-acoes-de-extensao-paranagua-_vp.xlsx/view&gt;. Acesso em: 24 de abr. de 2022.</w:t>
      </w:r>
    </w:p>
    <w:p w:rsidR="00000000" w:rsidDel="00000000" w:rsidP="00000000" w:rsidRDefault="00000000" w:rsidRPr="00000000" w14:paraId="000000A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AKGÜN, Ali E.; LYNN, Gary S.; BYRNE, John C. Organizational Learning: A Socio-Cognitive Framework. </w:t>
      </w:r>
      <w:r w:rsidDel="00000000" w:rsidR="00000000" w:rsidRPr="00000000">
        <w:rPr>
          <w:b w:val="1"/>
          <w:sz w:val="24"/>
          <w:szCs w:val="24"/>
          <w:rtl w:val="0"/>
        </w:rPr>
        <w:t xml:space="preserve">Human Relations</w:t>
      </w:r>
      <w:r w:rsidDel="00000000" w:rsidR="00000000" w:rsidRPr="00000000">
        <w:rPr>
          <w:sz w:val="24"/>
          <w:szCs w:val="24"/>
          <w:rtl w:val="0"/>
        </w:rPr>
        <w:t xml:space="preserve">, v. 56, n. 7, p. 839–868, 2003. Disponível em: &lt;http://journals.sagepub.com/doi/10.1177/00187267030567004&gt;. Acesso em: 27 de set.  de 2021.</w:t>
      </w:r>
    </w:p>
    <w:p w:rsidR="00000000" w:rsidDel="00000000" w:rsidP="00000000" w:rsidRDefault="00000000" w:rsidRPr="00000000" w14:paraId="000000A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BARGIELA-CHIAPPINI, Francesca. Discourse(s), social construction and language practices: In conversation with Alvesson and Kärreman. </w:t>
      </w:r>
      <w:r w:rsidDel="00000000" w:rsidR="00000000" w:rsidRPr="00000000">
        <w:rPr>
          <w:b w:val="1"/>
          <w:sz w:val="24"/>
          <w:szCs w:val="24"/>
          <w:rtl w:val="0"/>
        </w:rPr>
        <w:t xml:space="preserve">Human Relations</w:t>
      </w:r>
      <w:r w:rsidDel="00000000" w:rsidR="00000000" w:rsidRPr="00000000">
        <w:rPr>
          <w:sz w:val="24"/>
          <w:szCs w:val="24"/>
          <w:rtl w:val="0"/>
        </w:rPr>
        <w:t xml:space="preserve">, v. 64, n. 9, p. 1177–1191, 2011. Disponível em: &lt;http://journals.sagepub.com/doi/10.1177/0018726711408366&gt;. Acesso em: 27 de set. de 2021.</w:t>
      </w:r>
    </w:p>
    <w:p w:rsidR="00000000" w:rsidDel="00000000" w:rsidP="00000000" w:rsidRDefault="00000000" w:rsidRPr="00000000" w14:paraId="000000A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BENNEWORTH, P.; PINHEIRO, R.; SANCHEZ-BARRIOLUENGO, M. One size does not fit all! New perspectives on the university in the social knowledge economy. </w:t>
      </w:r>
      <w:r w:rsidDel="00000000" w:rsidR="00000000" w:rsidRPr="00000000">
        <w:rPr>
          <w:b w:val="1"/>
          <w:sz w:val="24"/>
          <w:szCs w:val="24"/>
          <w:rtl w:val="0"/>
        </w:rPr>
        <w:t xml:space="preserve">Science and Public Policy</w:t>
      </w:r>
      <w:r w:rsidDel="00000000" w:rsidR="00000000" w:rsidRPr="00000000">
        <w:rPr>
          <w:sz w:val="24"/>
          <w:szCs w:val="24"/>
          <w:rtl w:val="0"/>
        </w:rPr>
        <w:t xml:space="preserve">, 43, n. 6, p. 731-735, 2016.</w:t>
      </w:r>
    </w:p>
    <w:p w:rsidR="00000000" w:rsidDel="00000000" w:rsidP="00000000" w:rsidRDefault="00000000" w:rsidRPr="00000000" w14:paraId="000000A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BHAGAT, Rabi S.; KEDIA, Ben L.; HARVESTON, Paula D.; et al. Cultural Variations in the Cross-Border Transfer of Organizational Knowledge: An Integrative Framework. </w:t>
      </w:r>
      <w:r w:rsidDel="00000000" w:rsidR="00000000" w:rsidRPr="00000000">
        <w:rPr>
          <w:b w:val="1"/>
          <w:sz w:val="24"/>
          <w:szCs w:val="24"/>
          <w:rtl w:val="0"/>
        </w:rPr>
        <w:t xml:space="preserve">Academy of Management Review</w:t>
      </w:r>
      <w:r w:rsidDel="00000000" w:rsidR="00000000" w:rsidRPr="00000000">
        <w:rPr>
          <w:sz w:val="24"/>
          <w:szCs w:val="24"/>
          <w:rtl w:val="0"/>
        </w:rPr>
        <w:t xml:space="preserve">, v. 27, n. 2, p. 204–221, 2002. Disponível em: &lt;http://journals.aom.org/doi/10.5465/amr.2002.6588000&gt;. Acesso em: 05 de set. de 2021.</w:t>
      </w:r>
    </w:p>
    <w:p w:rsidR="00000000" w:rsidDel="00000000" w:rsidP="00000000" w:rsidRDefault="00000000" w:rsidRPr="00000000" w14:paraId="000000A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BOGGS, J. P. Implicit Models of Social Knowledge Use.</w:t>
      </w:r>
      <w:r w:rsidDel="00000000" w:rsidR="00000000" w:rsidRPr="00000000">
        <w:rPr>
          <w:b w:val="1"/>
          <w:sz w:val="24"/>
          <w:szCs w:val="24"/>
          <w:rtl w:val="0"/>
        </w:rPr>
        <w:t xml:space="preserve"> Knowledge: Creation, Diffusion, Utilization</w:t>
      </w:r>
      <w:r w:rsidDel="00000000" w:rsidR="00000000" w:rsidRPr="00000000">
        <w:rPr>
          <w:sz w:val="24"/>
          <w:szCs w:val="24"/>
          <w:rtl w:val="0"/>
        </w:rPr>
        <w:t xml:space="preserve">, 14, n. 1, p. 29-62, 1992.</w:t>
      </w:r>
    </w:p>
    <w:p w:rsidR="00000000" w:rsidDel="00000000" w:rsidP="00000000" w:rsidRDefault="00000000" w:rsidRPr="00000000" w14:paraId="000000A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BRETOS, Ignacio; ERRASTI, Anjel; MARCUELLO, Carmen. Ownership, governance, and the diffusion of HRM practices in multinational worker cooperatives: Case-study evidence from the Mondragon group. </w:t>
      </w:r>
      <w:r w:rsidDel="00000000" w:rsidR="00000000" w:rsidRPr="00000000">
        <w:rPr>
          <w:b w:val="1"/>
          <w:sz w:val="24"/>
          <w:szCs w:val="24"/>
          <w:rtl w:val="0"/>
        </w:rPr>
        <w:t xml:space="preserve">Human Resource Management Journal</w:t>
      </w:r>
      <w:r w:rsidDel="00000000" w:rsidR="00000000" w:rsidRPr="00000000">
        <w:rPr>
          <w:sz w:val="24"/>
          <w:szCs w:val="24"/>
          <w:rtl w:val="0"/>
        </w:rPr>
        <w:t xml:space="preserve">, v. 28, n. 1, p. 76–91, 2018. Disponível em: &lt;https://onlinelibrary.wiley.com/doi/10.1111/1748-8583.12165&gt;. Acesso em: 28 de set. de 2021.</w:t>
      </w:r>
    </w:p>
    <w:p w:rsidR="00000000" w:rsidDel="00000000" w:rsidP="00000000" w:rsidRDefault="00000000" w:rsidRPr="00000000" w14:paraId="000000A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BURRIS, Val. Stages in the Development of Economic Concepts. </w:t>
      </w:r>
      <w:r w:rsidDel="00000000" w:rsidR="00000000" w:rsidRPr="00000000">
        <w:rPr>
          <w:b w:val="1"/>
          <w:sz w:val="24"/>
          <w:szCs w:val="24"/>
          <w:rtl w:val="0"/>
        </w:rPr>
        <w:t xml:space="preserve">Human Relations</w:t>
      </w:r>
      <w:r w:rsidDel="00000000" w:rsidR="00000000" w:rsidRPr="00000000">
        <w:rPr>
          <w:sz w:val="24"/>
          <w:szCs w:val="24"/>
          <w:rtl w:val="0"/>
        </w:rPr>
        <w:t xml:space="preserve">, v. 36, n. 9, p. 791–812, 1983. Disponível em: &lt;http://journals.sagepub.com/doi/10.1177/001872678303600901&gt;. Acesso em: 27 de set. de 2021.</w:t>
      </w:r>
    </w:p>
    <w:p w:rsidR="00000000" w:rsidDel="00000000" w:rsidP="00000000" w:rsidRDefault="00000000" w:rsidRPr="00000000" w14:paraId="000000A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BUSENITZ, Lowell W.; GÓMEZ, Carolina; SPENCER, Jennifer W. Country Institutional Profiles: Unlocking Entrepreneurial Phenomena. </w:t>
      </w:r>
      <w:r w:rsidDel="00000000" w:rsidR="00000000" w:rsidRPr="00000000">
        <w:rPr>
          <w:b w:val="1"/>
          <w:sz w:val="24"/>
          <w:szCs w:val="24"/>
          <w:rtl w:val="0"/>
        </w:rPr>
        <w:t xml:space="preserve">Academy of Management Journal</w:t>
      </w:r>
      <w:r w:rsidDel="00000000" w:rsidR="00000000" w:rsidRPr="00000000">
        <w:rPr>
          <w:sz w:val="24"/>
          <w:szCs w:val="24"/>
          <w:rtl w:val="0"/>
        </w:rPr>
        <w:t xml:space="preserve">, v. 43, n. 5, p. 994–1003, 2000. Disponível em: &lt;http://journals.aom.org/doi/10.5465/1556423&gt;. Acesso em: 28 de set. de 2021.</w:t>
      </w:r>
    </w:p>
    <w:p w:rsidR="00000000" w:rsidDel="00000000" w:rsidP="00000000" w:rsidRDefault="00000000" w:rsidRPr="00000000" w14:paraId="000000B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CABLE, Daniel M.; GINO, Francesca; STAATS, Bradley R. Breaking Them in or Eliciting Their Best? Reframing Socialization around Newcomers’ Authentic Self-expression. </w:t>
      </w:r>
      <w:r w:rsidDel="00000000" w:rsidR="00000000" w:rsidRPr="00000000">
        <w:rPr>
          <w:b w:val="1"/>
          <w:sz w:val="24"/>
          <w:szCs w:val="24"/>
          <w:rtl w:val="0"/>
        </w:rPr>
        <w:t xml:space="preserve">Administrative Science Quarterly</w:t>
      </w:r>
      <w:r w:rsidDel="00000000" w:rsidR="00000000" w:rsidRPr="00000000">
        <w:rPr>
          <w:sz w:val="24"/>
          <w:szCs w:val="24"/>
          <w:rtl w:val="0"/>
        </w:rPr>
        <w:t xml:space="preserve">, v. 58, n. 1, p. 1–36, 2013. Disponível em: &lt;http://journals.sagepub.com/doi/10.1177/0001839213477098&gt;. Acesso em: 26 de set. de 2021.</w:t>
      </w:r>
    </w:p>
    <w:p w:rsidR="00000000" w:rsidDel="00000000" w:rsidP="00000000" w:rsidRDefault="00000000" w:rsidRPr="00000000" w14:paraId="000000B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Campus Pontal do Paraná – Centro de Estudos do Mar. Disponível em: &lt;http://www.cem.ufpr.br/portal/extensao-2/&gt;. Acesso em: 06  de maio de 2022.</w:t>
      </w:r>
    </w:p>
    <w:p w:rsidR="00000000" w:rsidDel="00000000" w:rsidP="00000000" w:rsidRDefault="00000000" w:rsidRPr="00000000" w14:paraId="000000B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CHATMAN, Jennifer A. Improving Interactional Organizational Research: A Model of Person-Organization Fit. </w:t>
      </w:r>
      <w:r w:rsidDel="00000000" w:rsidR="00000000" w:rsidRPr="00000000">
        <w:rPr>
          <w:b w:val="1"/>
          <w:sz w:val="24"/>
          <w:szCs w:val="24"/>
          <w:rtl w:val="0"/>
        </w:rPr>
        <w:t xml:space="preserve">Academy of Management Review</w:t>
      </w:r>
      <w:r w:rsidDel="00000000" w:rsidR="00000000" w:rsidRPr="00000000">
        <w:rPr>
          <w:sz w:val="24"/>
          <w:szCs w:val="24"/>
          <w:rtl w:val="0"/>
        </w:rPr>
        <w:t xml:space="preserve">, v. 14, n. 3, p. 333–349, 1989. Disponível em: &lt;http://journals.aom.org/doi/10.5465/amr.1989.4279063&gt;. Acesso em: 29 de set. de 2021.</w:t>
      </w:r>
    </w:p>
    <w:p w:rsidR="00000000" w:rsidDel="00000000" w:rsidP="00000000" w:rsidRDefault="00000000" w:rsidRPr="00000000" w14:paraId="000000B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DACIN, M. Tina; MUNIR, Kamal; TRACEY, Paul. Formal Dining at Cambridge Colleges: Linking Ritual Performance and Institutional Maintenance. </w:t>
      </w:r>
      <w:r w:rsidDel="00000000" w:rsidR="00000000" w:rsidRPr="00000000">
        <w:rPr>
          <w:b w:val="1"/>
          <w:sz w:val="24"/>
          <w:szCs w:val="24"/>
          <w:rtl w:val="0"/>
        </w:rPr>
        <w:t xml:space="preserve">Academy of Management Journal</w:t>
      </w:r>
      <w:r w:rsidDel="00000000" w:rsidR="00000000" w:rsidRPr="00000000">
        <w:rPr>
          <w:sz w:val="24"/>
          <w:szCs w:val="24"/>
          <w:rtl w:val="0"/>
        </w:rPr>
        <w:t xml:space="preserve">, v. 53, n. 6, p. 1393–1418, 2010. Disponível em: &lt;http://journals.aom.org/doi/10.5465/amj.2010.57318388&gt;. Acesso em: 28 de set. de 2021.</w:t>
      </w:r>
    </w:p>
    <w:p w:rsidR="00000000" w:rsidDel="00000000" w:rsidP="00000000" w:rsidRDefault="00000000" w:rsidRPr="00000000" w14:paraId="000000B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DAS, T. K.; TENG, Bing-Sheng. Between Trust and Control: Developing Confidence in Partner Cooperation in Alliances. </w:t>
      </w:r>
      <w:r w:rsidDel="00000000" w:rsidR="00000000" w:rsidRPr="00000000">
        <w:rPr>
          <w:b w:val="1"/>
          <w:sz w:val="24"/>
          <w:szCs w:val="24"/>
          <w:rtl w:val="0"/>
        </w:rPr>
        <w:t xml:space="preserve">Academy of Management Review</w:t>
      </w:r>
      <w:r w:rsidDel="00000000" w:rsidR="00000000" w:rsidRPr="00000000">
        <w:rPr>
          <w:sz w:val="24"/>
          <w:szCs w:val="24"/>
          <w:rtl w:val="0"/>
        </w:rPr>
        <w:t xml:space="preserve">, v. 23, n. 3, p. 491–512, 1998. Disponível em: &lt;http://journals.aom.org/doi/10.5465/amr.1998.926623&gt;. Acesso em: 05 de set. de 2021.</w:t>
      </w:r>
    </w:p>
    <w:p w:rsidR="00000000" w:rsidDel="00000000" w:rsidP="00000000" w:rsidRDefault="00000000" w:rsidRPr="00000000" w14:paraId="000000B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DUTTA, Sunasir. Creating in the Crucibles of Nature’s Fury: Associational Diversity and Local Social Entrepreneurship after Natural Disasters in California, 1991–2010. </w:t>
      </w:r>
      <w:r w:rsidDel="00000000" w:rsidR="00000000" w:rsidRPr="00000000">
        <w:rPr>
          <w:b w:val="1"/>
          <w:sz w:val="24"/>
          <w:szCs w:val="24"/>
          <w:rtl w:val="0"/>
        </w:rPr>
        <w:t xml:space="preserve">Administrative Science Quarterly</w:t>
      </w:r>
      <w:r w:rsidDel="00000000" w:rsidR="00000000" w:rsidRPr="00000000">
        <w:rPr>
          <w:sz w:val="24"/>
          <w:szCs w:val="24"/>
          <w:rtl w:val="0"/>
        </w:rPr>
        <w:t xml:space="preserve">, v. 62, n. 3, p. 443–483, 2017. Disponível em: &lt;http://journals.sagepub.com/doi/10.1177/0001839216668172&gt;. Acesso em: 26 de set. de 2021.</w:t>
      </w:r>
    </w:p>
    <w:p w:rsidR="00000000" w:rsidDel="00000000" w:rsidP="00000000" w:rsidRDefault="00000000" w:rsidRPr="00000000" w14:paraId="000000B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EBERL, Peter; CLEMENT, Ute; MÖLLER, Heidi. Socialising employees’ trust in the organisation: an exploration of apprentices’ socialisation in two highly trusted companies: Socialising employees’ trust in the organisation. </w:t>
      </w:r>
      <w:r w:rsidDel="00000000" w:rsidR="00000000" w:rsidRPr="00000000">
        <w:rPr>
          <w:b w:val="1"/>
          <w:sz w:val="24"/>
          <w:szCs w:val="24"/>
          <w:rtl w:val="0"/>
        </w:rPr>
        <w:t xml:space="preserve">Human Resource Management Journal</w:t>
      </w:r>
      <w:r w:rsidDel="00000000" w:rsidR="00000000" w:rsidRPr="00000000">
        <w:rPr>
          <w:sz w:val="24"/>
          <w:szCs w:val="24"/>
          <w:rtl w:val="0"/>
        </w:rPr>
        <w:t xml:space="preserve">, v. 22, n. 4, p. 343–359, 2012. Disponível em: &lt;https://onlinelibrary.wiley.com/doi/10.1111/1748-8583.12003&gt;. Acesso em: 28 de set. de 2021.</w:t>
      </w:r>
    </w:p>
    <w:p w:rsidR="00000000" w:rsidDel="00000000" w:rsidP="00000000" w:rsidRDefault="00000000" w:rsidRPr="00000000" w14:paraId="000000B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EDMONDSON, Amy. Psychological Safety and Learning Behavior in Work Teams. </w:t>
      </w:r>
      <w:r w:rsidDel="00000000" w:rsidR="00000000" w:rsidRPr="00000000">
        <w:rPr>
          <w:b w:val="1"/>
          <w:sz w:val="24"/>
          <w:szCs w:val="24"/>
          <w:rtl w:val="0"/>
        </w:rPr>
        <w:t xml:space="preserve">Administrative Science Quarterly</w:t>
      </w:r>
      <w:r w:rsidDel="00000000" w:rsidR="00000000" w:rsidRPr="00000000">
        <w:rPr>
          <w:sz w:val="24"/>
          <w:szCs w:val="24"/>
          <w:rtl w:val="0"/>
        </w:rPr>
        <w:t xml:space="preserve">, v. 44, n. 2, p. 350–383, 1999. Disponível em: &lt;http://journals.sagepub.com/doi/10.2307/2666999&gt;. Acesso em: 26 de set. de 2021.</w:t>
      </w:r>
    </w:p>
    <w:p w:rsidR="00000000" w:rsidDel="00000000" w:rsidP="00000000" w:rsidRDefault="00000000" w:rsidRPr="00000000" w14:paraId="000000C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EDMONDSON, Amy C.; BOHMER, Richard M.; PISANO, Gary P. Disrupted Routines: Team Learning and New Technology Implementation in Hospitals. </w:t>
      </w:r>
      <w:r w:rsidDel="00000000" w:rsidR="00000000" w:rsidRPr="00000000">
        <w:rPr>
          <w:b w:val="1"/>
          <w:sz w:val="24"/>
          <w:szCs w:val="24"/>
          <w:rtl w:val="0"/>
        </w:rPr>
        <w:t xml:space="preserve">Administrative Science Quarterly</w:t>
      </w:r>
      <w:r w:rsidDel="00000000" w:rsidR="00000000" w:rsidRPr="00000000">
        <w:rPr>
          <w:sz w:val="24"/>
          <w:szCs w:val="24"/>
          <w:rtl w:val="0"/>
        </w:rPr>
        <w:t xml:space="preserve">, v. 46, n. 4, p. 685–716, 2001. Disponível em: &lt;http://journals.sagepub.com/doi/10.2307/3094828&gt;. Acesso em: 29 de set. de 2021.</w:t>
      </w:r>
    </w:p>
    <w:p w:rsidR="00000000" w:rsidDel="00000000" w:rsidP="00000000" w:rsidRDefault="00000000" w:rsidRPr="00000000" w14:paraId="000000C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ETZKOWITZ, H. Innovation in Innovation: The Triple Helix of University-Industry-Government Relations. </w:t>
      </w:r>
      <w:r w:rsidDel="00000000" w:rsidR="00000000" w:rsidRPr="00000000">
        <w:rPr>
          <w:b w:val="1"/>
          <w:sz w:val="24"/>
          <w:szCs w:val="24"/>
          <w:rtl w:val="0"/>
        </w:rPr>
        <w:t xml:space="preserve">Social Science Information</w:t>
      </w:r>
      <w:r w:rsidDel="00000000" w:rsidR="00000000" w:rsidRPr="00000000">
        <w:rPr>
          <w:sz w:val="24"/>
          <w:szCs w:val="24"/>
          <w:rtl w:val="0"/>
        </w:rPr>
        <w:t xml:space="preserve">, 42, n. 3, p. 293-337, 2003.</w:t>
      </w:r>
    </w:p>
    <w:p w:rsidR="00000000" w:rsidDel="00000000" w:rsidP="00000000" w:rsidRDefault="00000000" w:rsidRPr="00000000" w14:paraId="000000C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FELIN, Teppo; HESTERLY, William S. The Knowledge-Based View, Nested Heterogeneity, and New Value Creation: Philosophical Considerations on the Locus of Knowledge. </w:t>
      </w:r>
      <w:r w:rsidDel="00000000" w:rsidR="00000000" w:rsidRPr="00000000">
        <w:rPr>
          <w:b w:val="1"/>
          <w:sz w:val="24"/>
          <w:szCs w:val="24"/>
          <w:rtl w:val="0"/>
        </w:rPr>
        <w:t xml:space="preserve">Academy of Management Review</w:t>
      </w:r>
      <w:r w:rsidDel="00000000" w:rsidR="00000000" w:rsidRPr="00000000">
        <w:rPr>
          <w:sz w:val="24"/>
          <w:szCs w:val="24"/>
          <w:rtl w:val="0"/>
        </w:rPr>
        <w:t xml:space="preserve">, v. 32, n. 1, p. 195–218, 2007. Disponível em: &lt;http://journals.aom.org/doi/10.5465/amr.2007.23464020&gt;. Acesso em: 29 de set. de 2021.</w:t>
      </w:r>
    </w:p>
    <w:p w:rsidR="00000000" w:rsidDel="00000000" w:rsidP="00000000" w:rsidRDefault="00000000" w:rsidRPr="00000000" w14:paraId="000000C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FIEDLER, Antje; CASEY, Catherine; FATH, Benjamin. Transnational employee voice and knowledge exchange in the multinational corporation: The European Company (SE) experience. </w:t>
      </w:r>
      <w:r w:rsidDel="00000000" w:rsidR="00000000" w:rsidRPr="00000000">
        <w:rPr>
          <w:b w:val="1"/>
          <w:sz w:val="24"/>
          <w:szCs w:val="24"/>
          <w:rtl w:val="0"/>
        </w:rPr>
        <w:t xml:space="preserve">Human Relations</w:t>
      </w:r>
      <w:r w:rsidDel="00000000" w:rsidR="00000000" w:rsidRPr="00000000">
        <w:rPr>
          <w:sz w:val="24"/>
          <w:szCs w:val="24"/>
          <w:rtl w:val="0"/>
        </w:rPr>
        <w:t xml:space="preserve">, v. 74, n. 7, p. 1033–1059, 2021. Disponível em: &lt;http://journals.sagepub.com/doi/10.1177/0018726720905351&gt;. Acesso em: 27 de set. de 2021.</w:t>
      </w:r>
    </w:p>
    <w:p w:rsidR="00000000" w:rsidDel="00000000" w:rsidP="00000000" w:rsidRDefault="00000000" w:rsidRPr="00000000" w14:paraId="000000C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GAME, Annilee M. Negative emotions in supervisory relationships: The role of relational models. </w:t>
      </w:r>
      <w:r w:rsidDel="00000000" w:rsidR="00000000" w:rsidRPr="00000000">
        <w:rPr>
          <w:b w:val="1"/>
          <w:sz w:val="24"/>
          <w:szCs w:val="24"/>
          <w:rtl w:val="0"/>
        </w:rPr>
        <w:t xml:space="preserve">Human Relations</w:t>
      </w:r>
      <w:r w:rsidDel="00000000" w:rsidR="00000000" w:rsidRPr="00000000">
        <w:rPr>
          <w:sz w:val="24"/>
          <w:szCs w:val="24"/>
          <w:rtl w:val="0"/>
        </w:rPr>
        <w:t xml:space="preserve">, v. 61, n. 3, p. 355–393, 2008. Disponível em: &lt;http://journals.sagepub.com/doi/10.1177/0018726708088998&gt;. Acesso em: 27 de set. de 2021.</w:t>
      </w:r>
    </w:p>
    <w:p w:rsidR="00000000" w:rsidDel="00000000" w:rsidP="00000000" w:rsidRDefault="00000000" w:rsidRPr="00000000" w14:paraId="000000C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GIRSCHIK, Verena; SVYSTUNOVA, Liudmyla; LYSOVA, Evgenia I. Transforming corporate social responsibilities: Toward an intellectual activist research agenda for micro-CSR research. </w:t>
      </w:r>
      <w:r w:rsidDel="00000000" w:rsidR="00000000" w:rsidRPr="00000000">
        <w:rPr>
          <w:b w:val="1"/>
          <w:sz w:val="24"/>
          <w:szCs w:val="24"/>
          <w:rtl w:val="0"/>
        </w:rPr>
        <w:t xml:space="preserve">Human Relations</w:t>
      </w:r>
      <w:r w:rsidDel="00000000" w:rsidR="00000000" w:rsidRPr="00000000">
        <w:rPr>
          <w:sz w:val="24"/>
          <w:szCs w:val="24"/>
          <w:rtl w:val="0"/>
        </w:rPr>
        <w:t xml:space="preserve">, v. 75, n. 1, p. 3–32, 2022. Disponível em: &lt;http://journals.sagepub.com/doi/10.1177/0018726720970275&gt;. Acesso em: 27 de set. de 2021.</w:t>
      </w:r>
    </w:p>
    <w:p w:rsidR="00000000" w:rsidDel="00000000" w:rsidP="00000000" w:rsidRDefault="00000000" w:rsidRPr="00000000" w14:paraId="000000C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GLYNN, Mary Ann; ABZUG, Rikki. Institutionalizing Identity: Symbolic Isomorphism and Organizational Names. </w:t>
      </w:r>
      <w:r w:rsidDel="00000000" w:rsidR="00000000" w:rsidRPr="00000000">
        <w:rPr>
          <w:b w:val="1"/>
          <w:sz w:val="24"/>
          <w:szCs w:val="24"/>
          <w:rtl w:val="0"/>
        </w:rPr>
        <w:t xml:space="preserve">Academy of Management Journal</w:t>
      </w:r>
      <w:r w:rsidDel="00000000" w:rsidR="00000000" w:rsidRPr="00000000">
        <w:rPr>
          <w:sz w:val="24"/>
          <w:szCs w:val="24"/>
          <w:rtl w:val="0"/>
        </w:rPr>
        <w:t xml:space="preserve">, v. 45, n. 1, p. 267–280, 2002. Disponível em: &lt;http://journals.aom.org/doi/10.5465/3069296&gt;. Acesso em: 26 de set. de 2021.</w:t>
      </w:r>
    </w:p>
    <w:p w:rsidR="00000000" w:rsidDel="00000000" w:rsidP="00000000" w:rsidRDefault="00000000" w:rsidRPr="00000000" w14:paraId="000000C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HASKI-LEVENTHAL, Debbie; BARGAL, David. The volunteer stages and transitions model: Organizational socialization of volunteers. </w:t>
      </w:r>
      <w:r w:rsidDel="00000000" w:rsidR="00000000" w:rsidRPr="00000000">
        <w:rPr>
          <w:b w:val="1"/>
          <w:sz w:val="24"/>
          <w:szCs w:val="24"/>
          <w:rtl w:val="0"/>
        </w:rPr>
        <w:t xml:space="preserve">Human Relations</w:t>
      </w:r>
      <w:r w:rsidDel="00000000" w:rsidR="00000000" w:rsidRPr="00000000">
        <w:rPr>
          <w:sz w:val="24"/>
          <w:szCs w:val="24"/>
          <w:rtl w:val="0"/>
        </w:rPr>
        <w:t xml:space="preserve">, v. 61, n. 1, p. 67–102, 2008. Disponível em: &lt;http://journals.sagepub.com/doi/10.1177/0018726707085946&gt;. Acesso em: 27 de set. de 2021.</w:t>
      </w:r>
    </w:p>
    <w:p w:rsidR="00000000" w:rsidDel="00000000" w:rsidP="00000000" w:rsidRDefault="00000000" w:rsidRPr="00000000" w14:paraId="000000D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HORWITZ, Frank M.; HENG, Chan Teng; QUAZI, Hesan Ahmed. Finders, keepers? Attracting, motivating and retaining knowledge workers. </w:t>
      </w:r>
      <w:r w:rsidDel="00000000" w:rsidR="00000000" w:rsidRPr="00000000">
        <w:rPr>
          <w:b w:val="1"/>
          <w:sz w:val="24"/>
          <w:szCs w:val="24"/>
          <w:rtl w:val="0"/>
        </w:rPr>
        <w:t xml:space="preserve">Human Resource Management Journal</w:t>
      </w:r>
      <w:r w:rsidDel="00000000" w:rsidR="00000000" w:rsidRPr="00000000">
        <w:rPr>
          <w:sz w:val="24"/>
          <w:szCs w:val="24"/>
          <w:rtl w:val="0"/>
        </w:rPr>
        <w:t xml:space="preserve">, v. 13, n. 4, p. 23–44, 2003. Disponível em: &lt;https://onlinelibrary.wiley.com/doi/10.1111/j.1748-8583.2003.tb00103.x&gt;. Acesso em: 12 de set. de 2021.</w:t>
      </w:r>
    </w:p>
    <w:p w:rsidR="00000000" w:rsidDel="00000000" w:rsidP="00000000" w:rsidRDefault="00000000" w:rsidRPr="00000000" w14:paraId="000000D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HU, Jia; WAYNE, Sandy J; BAUER, Talya N; et al. Self and senior executive perceptions of fit and performance: A time-lagged examination of newly-hired executives. </w:t>
      </w:r>
      <w:r w:rsidDel="00000000" w:rsidR="00000000" w:rsidRPr="00000000">
        <w:rPr>
          <w:b w:val="1"/>
          <w:sz w:val="24"/>
          <w:szCs w:val="24"/>
          <w:rtl w:val="0"/>
        </w:rPr>
        <w:t xml:space="preserve">Human Relations</w:t>
      </w:r>
      <w:r w:rsidDel="00000000" w:rsidR="00000000" w:rsidRPr="00000000">
        <w:rPr>
          <w:sz w:val="24"/>
          <w:szCs w:val="24"/>
          <w:rtl w:val="0"/>
        </w:rPr>
        <w:t xml:space="preserve">, v. 69, n. 6, p. 1259–1286, 2016. Disponível em: &lt;http://journals.sagepub.com/doi/10.1177/0018726715609108&gt;. Acesso em: 27 de set. de 2021.</w:t>
      </w:r>
    </w:p>
    <w:p w:rsidR="00000000" w:rsidDel="00000000" w:rsidP="00000000" w:rsidRDefault="00000000" w:rsidRPr="00000000" w14:paraId="000000D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JANDHYALA, Srividya; PHENE, Anupama. The Role of Intergovernmental Organizations in Cross-border Knowledge Transfer and Innovation. </w:t>
      </w:r>
      <w:r w:rsidDel="00000000" w:rsidR="00000000" w:rsidRPr="00000000">
        <w:rPr>
          <w:b w:val="1"/>
          <w:sz w:val="24"/>
          <w:szCs w:val="24"/>
          <w:rtl w:val="0"/>
        </w:rPr>
        <w:t xml:space="preserve">Administrative Science Quarterly</w:t>
      </w:r>
      <w:r w:rsidDel="00000000" w:rsidR="00000000" w:rsidRPr="00000000">
        <w:rPr>
          <w:sz w:val="24"/>
          <w:szCs w:val="24"/>
          <w:rtl w:val="0"/>
        </w:rPr>
        <w:t xml:space="preserve">, v. 60, n. 4, p. 712–743, 2015. Disponível em: &lt;http://journals.sagepub.com/doi/10.1177/0001839215590153&gt;. Acesso em: 08 de set. de 2021.</w:t>
      </w:r>
    </w:p>
    <w:p w:rsidR="00000000" w:rsidDel="00000000" w:rsidP="00000000" w:rsidRDefault="00000000" w:rsidRPr="00000000" w14:paraId="000000D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JEDWAB, R.; CHRISTIAENSEN, L.; GINDELSKY, M. Demography, urbanization and development: Rural push, urban pull and… urban push? </w:t>
      </w:r>
      <w:r w:rsidDel="00000000" w:rsidR="00000000" w:rsidRPr="00000000">
        <w:rPr>
          <w:b w:val="1"/>
          <w:sz w:val="24"/>
          <w:szCs w:val="24"/>
          <w:rtl w:val="0"/>
        </w:rPr>
        <w:t xml:space="preserve">Journal of Urban Economics</w:t>
      </w:r>
      <w:r w:rsidDel="00000000" w:rsidR="00000000" w:rsidRPr="00000000">
        <w:rPr>
          <w:sz w:val="24"/>
          <w:szCs w:val="24"/>
          <w:rtl w:val="0"/>
        </w:rPr>
        <w:t xml:space="preserve">, 98, p. 6-16, 2017.</w:t>
      </w:r>
    </w:p>
    <w:p w:rsidR="00000000" w:rsidDel="00000000" w:rsidP="00000000" w:rsidRDefault="00000000" w:rsidRPr="00000000" w14:paraId="000000D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KELLER, Jr; KEHOE, Rebecca R.; BIDWELL, Matthew; et al. In With the Old? Examining When Boomerang Employees Outperform New Hires. </w:t>
      </w:r>
      <w:r w:rsidDel="00000000" w:rsidR="00000000" w:rsidRPr="00000000">
        <w:rPr>
          <w:b w:val="1"/>
          <w:sz w:val="24"/>
          <w:szCs w:val="24"/>
          <w:rtl w:val="0"/>
        </w:rPr>
        <w:t xml:space="preserve">Academy of Management Journal</w:t>
      </w:r>
      <w:r w:rsidDel="00000000" w:rsidR="00000000" w:rsidRPr="00000000">
        <w:rPr>
          <w:sz w:val="24"/>
          <w:szCs w:val="24"/>
          <w:rtl w:val="0"/>
        </w:rPr>
        <w:t xml:space="preserve">, v. 64, n. 6, p. 1654–1684, 2021. Disponível em: &lt;http://journals.aom.org/doi/full/10.5465/amj.2019.1340&gt;. Acesso em: 28 de set. de 2021.</w:t>
      </w:r>
    </w:p>
    <w:p w:rsidR="00000000" w:rsidDel="00000000" w:rsidP="00000000" w:rsidRDefault="00000000" w:rsidRPr="00000000" w14:paraId="000000D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KOSTOVA, Tatiana. Transnational Transfer of Strategic Organizational Practices: A Contextual Perspective. </w:t>
      </w:r>
      <w:r w:rsidDel="00000000" w:rsidR="00000000" w:rsidRPr="00000000">
        <w:rPr>
          <w:b w:val="1"/>
          <w:sz w:val="24"/>
          <w:szCs w:val="24"/>
          <w:rtl w:val="0"/>
        </w:rPr>
        <w:t xml:space="preserve">Academy of Management Review</w:t>
      </w:r>
      <w:r w:rsidDel="00000000" w:rsidR="00000000" w:rsidRPr="00000000">
        <w:rPr>
          <w:sz w:val="24"/>
          <w:szCs w:val="24"/>
          <w:rtl w:val="0"/>
        </w:rPr>
        <w:t xml:space="preserve">, v. 24, n. 2, p. 308–324, 1999. Disponível em: &lt;http://journals.aom.org/doi/10.5465/amr.1999.1893938&gt;. Acesso em: 29 de set. de 2021.</w:t>
      </w:r>
    </w:p>
    <w:p w:rsidR="00000000" w:rsidDel="00000000" w:rsidP="00000000" w:rsidRDefault="00000000" w:rsidRPr="00000000" w14:paraId="000000D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KOSTOVA, Tatiana; ROTH, Kendall. Adoption of an Organizational Practice by Subsidiaries of Multinational Corporations: Institutional and Relational Effects. </w:t>
      </w:r>
      <w:r w:rsidDel="00000000" w:rsidR="00000000" w:rsidRPr="00000000">
        <w:rPr>
          <w:b w:val="1"/>
          <w:sz w:val="24"/>
          <w:szCs w:val="24"/>
          <w:rtl w:val="0"/>
        </w:rPr>
        <w:t xml:space="preserve">Academy of Management Journal</w:t>
      </w:r>
      <w:r w:rsidDel="00000000" w:rsidR="00000000" w:rsidRPr="00000000">
        <w:rPr>
          <w:sz w:val="24"/>
          <w:szCs w:val="24"/>
          <w:rtl w:val="0"/>
        </w:rPr>
        <w:t xml:space="preserve">, v. 45, n. 1, p. 215–233, 2002. Disponível em: &lt;http://journals.aom.org/doi/10.5465/3069293&gt;. Acesso em: 26 de set. de 2021.</w:t>
      </w:r>
    </w:p>
    <w:p w:rsidR="00000000" w:rsidDel="00000000" w:rsidP="00000000" w:rsidRDefault="00000000" w:rsidRPr="00000000" w14:paraId="000000D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KOSTOVA, Tatiana; ZAHEER, Srilata. Organizational Legitimacy Under Conditions of Complexity: The Case of the Multinational Enterprise. </w:t>
      </w:r>
      <w:r w:rsidDel="00000000" w:rsidR="00000000" w:rsidRPr="00000000">
        <w:rPr>
          <w:b w:val="1"/>
          <w:sz w:val="24"/>
          <w:szCs w:val="24"/>
          <w:rtl w:val="0"/>
        </w:rPr>
        <w:t xml:space="preserve">Academy of Management Review</w:t>
      </w:r>
      <w:r w:rsidDel="00000000" w:rsidR="00000000" w:rsidRPr="00000000">
        <w:rPr>
          <w:sz w:val="24"/>
          <w:szCs w:val="24"/>
          <w:rtl w:val="0"/>
        </w:rPr>
        <w:t xml:space="preserve">, v. 24, n. 1, p. 64–81, 1999. Disponível em: &lt;http://journals.aom.org/doi/10.5465/amr.1999.1580441&gt;. Acesso em: 29 de set. de 2021.</w:t>
      </w:r>
    </w:p>
    <w:p w:rsidR="00000000" w:rsidDel="00000000" w:rsidP="00000000" w:rsidRDefault="00000000" w:rsidRPr="00000000" w14:paraId="000000E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KRÄTKE, S. </w:t>
      </w:r>
      <w:r w:rsidDel="00000000" w:rsidR="00000000" w:rsidRPr="00000000">
        <w:rPr>
          <w:b w:val="1"/>
          <w:sz w:val="24"/>
          <w:szCs w:val="24"/>
          <w:rtl w:val="0"/>
        </w:rPr>
        <w:t xml:space="preserve">The creative capital of cities: interactive knowledge creation and the urbanization economies of innovation</w:t>
      </w:r>
      <w:r w:rsidDel="00000000" w:rsidR="00000000" w:rsidRPr="00000000">
        <w:rPr>
          <w:sz w:val="24"/>
          <w:szCs w:val="24"/>
          <w:rtl w:val="0"/>
        </w:rPr>
        <w:t xml:space="preserve">. West Sussex, UK: John-Wiley &amp; Sons, 2011.</w:t>
      </w:r>
    </w:p>
    <w:p w:rsidR="00000000" w:rsidDel="00000000" w:rsidP="00000000" w:rsidRDefault="00000000" w:rsidRPr="00000000" w14:paraId="000000E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LAM, Alice. Hybrids, identity and knowledge boundaries: Creative artists between academic and practitioner communities. </w:t>
      </w:r>
      <w:r w:rsidDel="00000000" w:rsidR="00000000" w:rsidRPr="00000000">
        <w:rPr>
          <w:b w:val="1"/>
          <w:sz w:val="24"/>
          <w:szCs w:val="24"/>
          <w:rtl w:val="0"/>
        </w:rPr>
        <w:t xml:space="preserve">Human Relations</w:t>
      </w:r>
      <w:r w:rsidDel="00000000" w:rsidR="00000000" w:rsidRPr="00000000">
        <w:rPr>
          <w:sz w:val="24"/>
          <w:szCs w:val="24"/>
          <w:rtl w:val="0"/>
        </w:rPr>
        <w:t xml:space="preserve">, v. 73, n. 6, p. 837–863, 2020. Disponível em: &lt;http://journals.sagepub.com/doi/10.1177/0018726719846259&gt;. Acesso em: 27 de set. de 2021.</w:t>
      </w:r>
    </w:p>
    <w:p w:rsidR="00000000" w:rsidDel="00000000" w:rsidP="00000000" w:rsidRDefault="00000000" w:rsidRPr="00000000" w14:paraId="000000E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LEAVITT, Keith; REYNOLDS, Scott J.; BARNES, Christopher M.; et al. Different Hats, Different Obligations: Plural Occupational Identities and Situated Moral Judgments. </w:t>
      </w:r>
      <w:r w:rsidDel="00000000" w:rsidR="00000000" w:rsidRPr="00000000">
        <w:rPr>
          <w:b w:val="1"/>
          <w:sz w:val="24"/>
          <w:szCs w:val="24"/>
          <w:rtl w:val="0"/>
        </w:rPr>
        <w:t xml:space="preserve">Academy of Management Journal</w:t>
      </w:r>
      <w:r w:rsidDel="00000000" w:rsidR="00000000" w:rsidRPr="00000000">
        <w:rPr>
          <w:sz w:val="24"/>
          <w:szCs w:val="24"/>
          <w:rtl w:val="0"/>
        </w:rPr>
        <w:t xml:space="preserve">, v. 55, n. 6, p. 1316–1333, 2012. Disponível em: &lt;http://journals.aom.org/doi/10.5465/amj.2010.1023&gt;. Acesso em: 26 de set. de 2021.</w:t>
      </w:r>
    </w:p>
    <w:p w:rsidR="00000000" w:rsidDel="00000000" w:rsidP="00000000" w:rsidRDefault="00000000" w:rsidRPr="00000000" w14:paraId="000000E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LEONE, Paolo V.; MANTERE, Saku; FARAJ, Samer. Open Theorizing in Management and Organization Studies. </w:t>
      </w:r>
      <w:r w:rsidDel="00000000" w:rsidR="00000000" w:rsidRPr="00000000">
        <w:rPr>
          <w:b w:val="1"/>
          <w:sz w:val="24"/>
          <w:szCs w:val="24"/>
          <w:rtl w:val="0"/>
        </w:rPr>
        <w:t xml:space="preserve">Academy of Management Review</w:t>
      </w:r>
      <w:r w:rsidDel="00000000" w:rsidR="00000000" w:rsidRPr="00000000">
        <w:rPr>
          <w:sz w:val="24"/>
          <w:szCs w:val="24"/>
          <w:rtl w:val="0"/>
        </w:rPr>
        <w:t xml:space="preserve">, v. 46, n. 4, p. 725–749, 2021. Disponível em: &lt;http://journals.aom.org/doi/full/10.5465/amr.2019.0279&gt;. Acesso em: 29 de set. de 2021.</w:t>
      </w:r>
    </w:p>
    <w:p w:rsidR="00000000" w:rsidDel="00000000" w:rsidP="00000000" w:rsidRDefault="00000000" w:rsidRPr="00000000" w14:paraId="000000E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LEWIS, Laurie K.; SEIBOLD, David R. Innovation Modification During Intraorganizational Adoption. </w:t>
      </w:r>
      <w:r w:rsidDel="00000000" w:rsidR="00000000" w:rsidRPr="00000000">
        <w:rPr>
          <w:b w:val="1"/>
          <w:sz w:val="24"/>
          <w:szCs w:val="24"/>
          <w:rtl w:val="0"/>
        </w:rPr>
        <w:t xml:space="preserve">Academy of Management Review</w:t>
      </w:r>
      <w:r w:rsidDel="00000000" w:rsidR="00000000" w:rsidRPr="00000000">
        <w:rPr>
          <w:sz w:val="24"/>
          <w:szCs w:val="24"/>
          <w:rtl w:val="0"/>
        </w:rPr>
        <w:t xml:space="preserve">, v. 18, n. 2, p. 322–354, 1993. Disponível em: &lt;http://journals.aom.org/doi/10.5465/amr.1993.3997518&gt;. Acesso em: 25 de set. de 2021.</w:t>
      </w:r>
    </w:p>
    <w:p w:rsidR="00000000" w:rsidDel="00000000" w:rsidP="00000000" w:rsidRDefault="00000000" w:rsidRPr="00000000" w14:paraId="000000E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LEYDESDORFF, L.; ETZKOWITZ, H. Emergence of a Triple Helix of University-Industry-Government Relations. </w:t>
      </w:r>
      <w:r w:rsidDel="00000000" w:rsidR="00000000" w:rsidRPr="00000000">
        <w:rPr>
          <w:b w:val="1"/>
          <w:sz w:val="24"/>
          <w:szCs w:val="24"/>
          <w:rtl w:val="0"/>
        </w:rPr>
        <w:t xml:space="preserve">Science and Public Policy</w:t>
      </w:r>
      <w:r w:rsidDel="00000000" w:rsidR="00000000" w:rsidRPr="00000000">
        <w:rPr>
          <w:sz w:val="24"/>
          <w:szCs w:val="24"/>
          <w:rtl w:val="0"/>
        </w:rPr>
        <w:t xml:space="preserve">, 23, n. 5, p. 279-286, 1996.</w:t>
      </w:r>
    </w:p>
    <w:p w:rsidR="00000000" w:rsidDel="00000000" w:rsidP="00000000" w:rsidRDefault="00000000" w:rsidRPr="00000000" w14:paraId="000000E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LI, Jiatao; YANG, Jing Yu; YUE, Deborah R. Identity, Community, And Audience: How Wholly Owned Foreign Subsidiaries Gain Legitimacy In China. </w:t>
      </w:r>
      <w:r w:rsidDel="00000000" w:rsidR="00000000" w:rsidRPr="00000000">
        <w:rPr>
          <w:b w:val="1"/>
          <w:sz w:val="24"/>
          <w:szCs w:val="24"/>
          <w:rtl w:val="0"/>
        </w:rPr>
        <w:t xml:space="preserve">Academy of Management Journal</w:t>
      </w:r>
      <w:r w:rsidDel="00000000" w:rsidR="00000000" w:rsidRPr="00000000">
        <w:rPr>
          <w:sz w:val="24"/>
          <w:szCs w:val="24"/>
          <w:rtl w:val="0"/>
        </w:rPr>
        <w:t xml:space="preserve">, v. 50, n. 1, p. 175–190, 2007. Disponível em: &lt;http://journals.aom.org/doi/10.5465/amj.2007.24162209&gt;. Acesso em: 28 de set. de 2021.</w:t>
      </w:r>
    </w:p>
    <w:p w:rsidR="00000000" w:rsidDel="00000000" w:rsidP="00000000" w:rsidRDefault="00000000" w:rsidRPr="00000000" w14:paraId="000000E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LI, Yuan. A Semiotic Theory of Institutionalization. </w:t>
      </w:r>
      <w:r w:rsidDel="00000000" w:rsidR="00000000" w:rsidRPr="00000000">
        <w:rPr>
          <w:b w:val="1"/>
          <w:sz w:val="24"/>
          <w:szCs w:val="24"/>
          <w:rtl w:val="0"/>
        </w:rPr>
        <w:t xml:space="preserve">Academy of Management Review</w:t>
      </w:r>
      <w:r w:rsidDel="00000000" w:rsidR="00000000" w:rsidRPr="00000000">
        <w:rPr>
          <w:sz w:val="24"/>
          <w:szCs w:val="24"/>
          <w:rtl w:val="0"/>
        </w:rPr>
        <w:t xml:space="preserve">, v. 42, n. 3, p. 520–547, 2017. Disponível em: &lt;http://journals.aom.org/doi/10.5465/amr.2014.0274&gt;. Acesso em: 29 de set. de 2021.</w:t>
      </w:r>
    </w:p>
    <w:p w:rsidR="00000000" w:rsidDel="00000000" w:rsidP="00000000" w:rsidRDefault="00000000" w:rsidRPr="00000000" w14:paraId="000000F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MARCEAU, J. Introduction: Innovation in the city and innovative cities. </w:t>
      </w:r>
      <w:r w:rsidDel="00000000" w:rsidR="00000000" w:rsidRPr="00000000">
        <w:rPr>
          <w:b w:val="1"/>
          <w:sz w:val="24"/>
          <w:szCs w:val="24"/>
          <w:rtl w:val="0"/>
        </w:rPr>
        <w:t xml:space="preserve">Innovation: Management, Policy and Practice</w:t>
      </w:r>
      <w:r w:rsidDel="00000000" w:rsidR="00000000" w:rsidRPr="00000000">
        <w:rPr>
          <w:sz w:val="24"/>
          <w:szCs w:val="24"/>
          <w:rtl w:val="0"/>
        </w:rPr>
        <w:t xml:space="preserve">, 10, n. 2-3, p. 136-145, 2008.</w:t>
      </w:r>
    </w:p>
    <w:p w:rsidR="00000000" w:rsidDel="00000000" w:rsidP="00000000" w:rsidRDefault="00000000" w:rsidRPr="00000000" w14:paraId="000000F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MEYER, Renate E.; JANCSARY, Dennis; HÖLLERER, Markus A.; et al. The Role of Verbal and Visual Text in the Process of Institutionalization. </w:t>
      </w:r>
      <w:r w:rsidDel="00000000" w:rsidR="00000000" w:rsidRPr="00000000">
        <w:rPr>
          <w:b w:val="1"/>
          <w:sz w:val="24"/>
          <w:szCs w:val="24"/>
          <w:rtl w:val="0"/>
        </w:rPr>
        <w:t xml:space="preserve">Academy of Management Review</w:t>
      </w:r>
      <w:r w:rsidDel="00000000" w:rsidR="00000000" w:rsidRPr="00000000">
        <w:rPr>
          <w:sz w:val="24"/>
          <w:szCs w:val="24"/>
          <w:rtl w:val="0"/>
        </w:rPr>
        <w:t xml:space="preserve">, v. 43, n. 3, p. 392–418, 2018. Disponível em: &lt;http://journals.aom.org/doi/10.5465/amr.2014.0301&gt;. Acesso em: 29 de set. de 2021.</w:t>
      </w:r>
    </w:p>
    <w:p w:rsidR="00000000" w:rsidDel="00000000" w:rsidP="00000000" w:rsidRDefault="00000000" w:rsidRPr="00000000" w14:paraId="000000F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MILLER, Danny; SHAMSIE, Jamal. The Resource-Based View of the Firm in Two Environments: The Hollywood Film Studios From 1936 to 1965. </w:t>
      </w:r>
      <w:r w:rsidDel="00000000" w:rsidR="00000000" w:rsidRPr="00000000">
        <w:rPr>
          <w:b w:val="1"/>
          <w:sz w:val="24"/>
          <w:szCs w:val="24"/>
          <w:rtl w:val="0"/>
        </w:rPr>
        <w:t xml:space="preserve">Academy of Management Journal</w:t>
      </w:r>
      <w:r w:rsidDel="00000000" w:rsidR="00000000" w:rsidRPr="00000000">
        <w:rPr>
          <w:sz w:val="24"/>
          <w:szCs w:val="24"/>
          <w:rtl w:val="0"/>
        </w:rPr>
        <w:t xml:space="preserve">, v. 39, n. 3, p. 519–543, 1996. Disponível em: &lt;http://journals.aom.org/doi/10.5465/256654&gt;. Acesso em: 28 de set. de 2021.</w:t>
      </w:r>
    </w:p>
    <w:p w:rsidR="00000000" w:rsidDel="00000000" w:rsidP="00000000" w:rsidRDefault="00000000" w:rsidRPr="00000000" w14:paraId="000000F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NAHAPIET, Janine; GHOSHAL, Sumantra. Social Capital, Intellectual Capital, and the Organizational Advantage. </w:t>
      </w:r>
      <w:r w:rsidDel="00000000" w:rsidR="00000000" w:rsidRPr="00000000">
        <w:rPr>
          <w:b w:val="1"/>
          <w:sz w:val="24"/>
          <w:szCs w:val="24"/>
          <w:rtl w:val="0"/>
        </w:rPr>
        <w:t xml:space="preserve">Academy of Management Review</w:t>
      </w:r>
      <w:r w:rsidDel="00000000" w:rsidR="00000000" w:rsidRPr="00000000">
        <w:rPr>
          <w:sz w:val="24"/>
          <w:szCs w:val="24"/>
          <w:rtl w:val="0"/>
        </w:rPr>
        <w:t xml:space="preserve">, v. 23, n. 2, p. 242–266, 1998. Disponível em: &lt;http://journals.aom.org/doi/10.5465/amr.1998.533225&gt;. Acesso em: 25 de set. de 2021.</w:t>
      </w:r>
    </w:p>
    <w:p w:rsidR="00000000" w:rsidDel="00000000" w:rsidP="00000000" w:rsidRDefault="00000000" w:rsidRPr="00000000" w14:paraId="000000F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OBSTFELD, David. Social Networks, the Tertius Iungens Orientation, and Involvement in Innovation. </w:t>
      </w:r>
      <w:r w:rsidDel="00000000" w:rsidR="00000000" w:rsidRPr="00000000">
        <w:rPr>
          <w:b w:val="1"/>
          <w:sz w:val="24"/>
          <w:szCs w:val="24"/>
          <w:rtl w:val="0"/>
        </w:rPr>
        <w:t xml:space="preserve">Administrative Science Quarterly</w:t>
      </w:r>
      <w:r w:rsidDel="00000000" w:rsidR="00000000" w:rsidRPr="00000000">
        <w:rPr>
          <w:sz w:val="24"/>
          <w:szCs w:val="24"/>
          <w:rtl w:val="0"/>
        </w:rPr>
        <w:t xml:space="preserve">, v. 50, n. 1, p. 100–130, 2005. Disponível em: &lt;http://journals.sagepub.com/doi/10.2189/asqu.2005.50.1.100&gt;. Acesso em: 26 de set. de 2021.</w:t>
      </w:r>
    </w:p>
    <w:p w:rsidR="00000000" w:rsidDel="00000000" w:rsidP="00000000" w:rsidRDefault="00000000" w:rsidRPr="00000000" w14:paraId="000000F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PERKOVIC, Ines. </w:t>
      </w:r>
      <w:r w:rsidDel="00000000" w:rsidR="00000000" w:rsidRPr="00000000">
        <w:rPr>
          <w:b w:val="1"/>
          <w:sz w:val="24"/>
          <w:szCs w:val="24"/>
          <w:rtl w:val="0"/>
        </w:rPr>
        <w:t xml:space="preserve">McMaster LibGuides: How Do I Find the 50 Journals used in the FT Research Rank?: FT Top 50.</w:t>
      </w:r>
      <w:r w:rsidDel="00000000" w:rsidR="00000000" w:rsidRPr="00000000">
        <w:rPr>
          <w:sz w:val="24"/>
          <w:szCs w:val="24"/>
          <w:rtl w:val="0"/>
        </w:rPr>
        <w:t xml:space="preserve"> Disponível em: &lt;https://libguides.mcmaster.ca/ft-top50/journals&gt;. Acesso em: 05 de set. de 2021.</w:t>
      </w:r>
    </w:p>
    <w:p w:rsidR="00000000" w:rsidDel="00000000" w:rsidP="00000000" w:rsidRDefault="00000000" w:rsidRPr="00000000" w14:paraId="000000F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PERVIN, Lawrence A. Persons, Situations, Interactions: The History of a Controversy and a Discussion of Theoretical Models. </w:t>
      </w:r>
      <w:r w:rsidDel="00000000" w:rsidR="00000000" w:rsidRPr="00000000">
        <w:rPr>
          <w:b w:val="1"/>
          <w:sz w:val="24"/>
          <w:szCs w:val="24"/>
          <w:rtl w:val="0"/>
        </w:rPr>
        <w:t xml:space="preserve">Academy of Management Review</w:t>
      </w:r>
      <w:r w:rsidDel="00000000" w:rsidR="00000000" w:rsidRPr="00000000">
        <w:rPr>
          <w:sz w:val="24"/>
          <w:szCs w:val="24"/>
          <w:rtl w:val="0"/>
        </w:rPr>
        <w:t xml:space="preserve">, v. 14, n. 3, p. 350–360, 1989. Disponível em: &lt;http://journals.aom.org/doi/10.5465/amr.1989.4279066&gt;. Acesso em: 25 de set. de 2021.</w:t>
      </w:r>
    </w:p>
    <w:p w:rsidR="00000000" w:rsidDel="00000000" w:rsidP="00000000" w:rsidRDefault="00000000" w:rsidRPr="00000000" w14:paraId="000000F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POWELL, W. W.; SNELLMAN, K. The knowledge economy. </w:t>
      </w:r>
      <w:r w:rsidDel="00000000" w:rsidR="00000000" w:rsidRPr="00000000">
        <w:rPr>
          <w:b w:val="1"/>
          <w:sz w:val="24"/>
          <w:szCs w:val="24"/>
          <w:rtl w:val="0"/>
        </w:rPr>
        <w:t xml:space="preserve">Annual Review of Sociology</w:t>
      </w:r>
      <w:r w:rsidDel="00000000" w:rsidR="00000000" w:rsidRPr="00000000">
        <w:rPr>
          <w:sz w:val="24"/>
          <w:szCs w:val="24"/>
          <w:rtl w:val="0"/>
        </w:rPr>
        <w:t xml:space="preserve">, 30, p. 199-220, 2004.</w:t>
      </w:r>
    </w:p>
    <w:p w:rsidR="00000000" w:rsidDel="00000000" w:rsidP="00000000" w:rsidRDefault="00000000" w:rsidRPr="00000000" w14:paraId="000001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RENNSTAM, Jens; ASHCRAFT, Karen Lee. Knowing work: Cultivating a practice-based epistemology of knowledge in organization studies. </w:t>
      </w:r>
      <w:r w:rsidDel="00000000" w:rsidR="00000000" w:rsidRPr="00000000">
        <w:rPr>
          <w:b w:val="1"/>
          <w:sz w:val="24"/>
          <w:szCs w:val="24"/>
          <w:rtl w:val="0"/>
        </w:rPr>
        <w:t xml:space="preserve">Human Relations</w:t>
      </w:r>
      <w:r w:rsidDel="00000000" w:rsidR="00000000" w:rsidRPr="00000000">
        <w:rPr>
          <w:sz w:val="24"/>
          <w:szCs w:val="24"/>
          <w:rtl w:val="0"/>
        </w:rPr>
        <w:t xml:space="preserve">, v. 67, n. 1, p. 3–25, 2014. Disponível em: &lt;http://journals.sagepub.com/doi/10.1177/0018726713484182&gt;. Acesso em: 27 de set. de 2021.</w:t>
      </w:r>
    </w:p>
    <w:p w:rsidR="00000000" w:rsidDel="00000000" w:rsidP="00000000" w:rsidRDefault="00000000" w:rsidRPr="00000000" w14:paraId="000001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SASOVOVA, Zuzana; MEHRA, Ajay; BORGATTI, Stephen P.; et al. Network Churn: The Effects of Self-Monitoring Personality on Brokerage Dynamics. </w:t>
      </w:r>
      <w:r w:rsidDel="00000000" w:rsidR="00000000" w:rsidRPr="00000000">
        <w:rPr>
          <w:b w:val="1"/>
          <w:sz w:val="24"/>
          <w:szCs w:val="24"/>
          <w:rtl w:val="0"/>
        </w:rPr>
        <w:t xml:space="preserve">Administrative Science Quarterly</w:t>
      </w:r>
      <w:r w:rsidDel="00000000" w:rsidR="00000000" w:rsidRPr="00000000">
        <w:rPr>
          <w:sz w:val="24"/>
          <w:szCs w:val="24"/>
          <w:rtl w:val="0"/>
        </w:rPr>
        <w:t xml:space="preserve">, v. 55, n. 4, p. 639–670, 2010. Disponível em: &lt;http://journals.sagepub.com/doi/10.2189/asqu.2010.55.4.639&gt;. Acesso em: 26 de set. de 2021.</w:t>
      </w:r>
    </w:p>
    <w:p w:rsidR="00000000" w:rsidDel="00000000" w:rsidP="00000000" w:rsidRDefault="00000000" w:rsidRPr="00000000" w14:paraId="000001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SHEARMUR, R. Are cities the font of innovation? A critical review of the literature on cities and innovation. </w:t>
      </w:r>
      <w:r w:rsidDel="00000000" w:rsidR="00000000" w:rsidRPr="00000000">
        <w:rPr>
          <w:b w:val="1"/>
          <w:sz w:val="24"/>
          <w:szCs w:val="24"/>
          <w:rtl w:val="0"/>
        </w:rPr>
        <w:t xml:space="preserve">Cities</w:t>
      </w:r>
      <w:r w:rsidDel="00000000" w:rsidR="00000000" w:rsidRPr="00000000">
        <w:rPr>
          <w:sz w:val="24"/>
          <w:szCs w:val="24"/>
          <w:rtl w:val="0"/>
        </w:rPr>
        <w:t xml:space="preserve">, 29, p. S9-S18, 2012.</w:t>
      </w:r>
    </w:p>
    <w:p w:rsidR="00000000" w:rsidDel="00000000" w:rsidP="00000000" w:rsidRDefault="00000000" w:rsidRPr="00000000" w14:paraId="000001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SIMON, Bernd; OAKES, Penelope. Beyond dependence: An identity approach to social power and domination. </w:t>
      </w:r>
      <w:r w:rsidDel="00000000" w:rsidR="00000000" w:rsidRPr="00000000">
        <w:rPr>
          <w:b w:val="1"/>
          <w:sz w:val="24"/>
          <w:szCs w:val="24"/>
          <w:rtl w:val="0"/>
        </w:rPr>
        <w:t xml:space="preserve">Human Relations</w:t>
      </w:r>
      <w:r w:rsidDel="00000000" w:rsidR="00000000" w:rsidRPr="00000000">
        <w:rPr>
          <w:sz w:val="24"/>
          <w:szCs w:val="24"/>
          <w:rtl w:val="0"/>
        </w:rPr>
        <w:t xml:space="preserve">, v. 59, n. 1, p. 105–139, 2006. Disponível em: &lt;http://journals.sagepub.com/doi/10.1177/0018726706062760&gt;. Acesso em: 27 de set. de 2021.</w:t>
      </w:r>
    </w:p>
    <w:p w:rsidR="00000000" w:rsidDel="00000000" w:rsidP="00000000" w:rsidRDefault="00000000" w:rsidRPr="00000000" w14:paraId="000001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SISCOPE.</w:t>
      </w:r>
      <w:r w:rsidDel="00000000" w:rsidR="00000000" w:rsidRPr="00000000">
        <w:rPr>
          <w:sz w:val="24"/>
          <w:szCs w:val="24"/>
          <w:rtl w:val="0"/>
        </w:rPr>
        <w:t xml:space="preserve"> Disponível em: &lt;https://cope.ifpr.edu.br/transparenciaprojetoscampus.php&gt;. Acesso em: 24 de abr. de 2022.</w:t>
      </w:r>
    </w:p>
    <w:p w:rsidR="00000000" w:rsidDel="00000000" w:rsidP="00000000" w:rsidRDefault="00000000" w:rsidRPr="00000000" w14:paraId="000001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SMALE, Adam. Foreign subsidiary perspectives on the mechanisms of global HRM integration. </w:t>
      </w:r>
      <w:r w:rsidDel="00000000" w:rsidR="00000000" w:rsidRPr="00000000">
        <w:rPr>
          <w:b w:val="1"/>
          <w:sz w:val="24"/>
          <w:szCs w:val="24"/>
          <w:rtl w:val="0"/>
        </w:rPr>
        <w:t xml:space="preserve">Human Resource Management Journal</w:t>
      </w:r>
      <w:r w:rsidDel="00000000" w:rsidR="00000000" w:rsidRPr="00000000">
        <w:rPr>
          <w:sz w:val="24"/>
          <w:szCs w:val="24"/>
          <w:rtl w:val="0"/>
        </w:rPr>
        <w:t xml:space="preserve">, v. 18, n. 2, p. 135–153, 2008. Disponível em: &lt;https://onlinelibrary.wiley.com/doi/10.1111/j.1748-8583.2007.00064.x&gt;. Acesso em: 28 de set. de 2021.</w:t>
      </w:r>
    </w:p>
    <w:p w:rsidR="00000000" w:rsidDel="00000000" w:rsidP="00000000" w:rsidRDefault="00000000" w:rsidRPr="00000000" w14:paraId="000001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SMIRCICH, Linda; STUBBART, Charles. Strategic Management in an Enacted World. </w:t>
      </w:r>
      <w:r w:rsidDel="00000000" w:rsidR="00000000" w:rsidRPr="00000000">
        <w:rPr>
          <w:b w:val="1"/>
          <w:sz w:val="24"/>
          <w:szCs w:val="24"/>
          <w:rtl w:val="0"/>
        </w:rPr>
        <w:t xml:space="preserve">Academy of Management Review</w:t>
      </w:r>
      <w:r w:rsidDel="00000000" w:rsidR="00000000" w:rsidRPr="00000000">
        <w:rPr>
          <w:sz w:val="24"/>
          <w:szCs w:val="24"/>
          <w:rtl w:val="0"/>
        </w:rPr>
        <w:t xml:space="preserve">, v. 10, n. 4, p. 724–736, 1985. Disponível em: &lt;http://journals.aom.org/doi/10.5465/amr.1985.4279096&gt;. Acesso em: 25 de set. de 2021.</w:t>
      </w:r>
    </w:p>
    <w:p w:rsidR="00000000" w:rsidDel="00000000" w:rsidP="00000000" w:rsidRDefault="00000000" w:rsidRPr="00000000" w14:paraId="000001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STEVENSON, William B.; GREENBERG, Danna. Agency and Social Networks: Strategies of Action in a Social Structure of Position, Opposition, and Opportunity. </w:t>
      </w:r>
      <w:r w:rsidDel="00000000" w:rsidR="00000000" w:rsidRPr="00000000">
        <w:rPr>
          <w:b w:val="1"/>
          <w:sz w:val="24"/>
          <w:szCs w:val="24"/>
          <w:rtl w:val="0"/>
        </w:rPr>
        <w:t xml:space="preserve">Administrative Science Quarterly</w:t>
      </w:r>
      <w:r w:rsidDel="00000000" w:rsidR="00000000" w:rsidRPr="00000000">
        <w:rPr>
          <w:sz w:val="24"/>
          <w:szCs w:val="24"/>
          <w:rtl w:val="0"/>
        </w:rPr>
        <w:t xml:space="preserve">, v. 45, n. 4, p. 651–678, 2000. Disponível em: &lt;http://journals.sagepub.com/doi/10.2307/2667015&gt;. Acesso em: 26 de set. de 2021.</w:t>
      </w:r>
    </w:p>
    <w:p w:rsidR="00000000" w:rsidDel="00000000" w:rsidP="00000000" w:rsidRDefault="00000000" w:rsidRPr="00000000" w14:paraId="000001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SURROCA, Jordi; TRIBÓ, Josep A.; ZAHRA, Shaker A. Stakeholder Pressure on MNEs and the Transfer of Socially Irresponsible Practices to Subsidiaries. </w:t>
      </w:r>
      <w:r w:rsidDel="00000000" w:rsidR="00000000" w:rsidRPr="00000000">
        <w:rPr>
          <w:b w:val="1"/>
          <w:sz w:val="24"/>
          <w:szCs w:val="24"/>
          <w:rtl w:val="0"/>
        </w:rPr>
        <w:t xml:space="preserve">Academy of Management Journal</w:t>
      </w:r>
      <w:r w:rsidDel="00000000" w:rsidR="00000000" w:rsidRPr="00000000">
        <w:rPr>
          <w:sz w:val="24"/>
          <w:szCs w:val="24"/>
          <w:rtl w:val="0"/>
        </w:rPr>
        <w:t xml:space="preserve">, v. 56, n. 2, p. 549–572, 2013. Disponível em: &lt;http://journals.aom.org/doi/10.5465/amj.2010.0962&gt;. Acesso em: 26 de set. de 2021.</w:t>
      </w:r>
    </w:p>
    <w:p w:rsidR="00000000" w:rsidDel="00000000" w:rsidP="00000000" w:rsidRDefault="00000000" w:rsidRPr="00000000" w14:paraId="000001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TALBOT, C. Debate: The changing ecology of social knowledge and public policy-making. </w:t>
      </w:r>
      <w:r w:rsidDel="00000000" w:rsidR="00000000" w:rsidRPr="00000000">
        <w:rPr>
          <w:b w:val="1"/>
          <w:sz w:val="24"/>
          <w:szCs w:val="24"/>
          <w:rtl w:val="0"/>
        </w:rPr>
        <w:t xml:space="preserve">Public Money &amp; Management</w:t>
      </w:r>
      <w:r w:rsidDel="00000000" w:rsidR="00000000" w:rsidRPr="00000000">
        <w:rPr>
          <w:sz w:val="24"/>
          <w:szCs w:val="24"/>
          <w:rtl w:val="0"/>
        </w:rPr>
        <w:t xml:space="preserve">, 37, n. 4, p. 242-244, 2017.</w:t>
      </w:r>
    </w:p>
    <w:p w:rsidR="00000000" w:rsidDel="00000000" w:rsidP="00000000" w:rsidRDefault="00000000" w:rsidRPr="00000000" w14:paraId="000001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TERRION, Jenepher Lennox; ASHFORTH, Blake E. From ‘I’ to ‘We’: The Role of Putdown Humor and Identity in the Development of a Temporary Group.</w:t>
      </w:r>
      <w:r w:rsidDel="00000000" w:rsidR="00000000" w:rsidRPr="00000000">
        <w:rPr>
          <w:b w:val="1"/>
          <w:sz w:val="24"/>
          <w:szCs w:val="24"/>
          <w:rtl w:val="0"/>
        </w:rPr>
        <w:t xml:space="preserve"> Human Relations</w:t>
      </w:r>
      <w:r w:rsidDel="00000000" w:rsidR="00000000" w:rsidRPr="00000000">
        <w:rPr>
          <w:sz w:val="24"/>
          <w:szCs w:val="24"/>
          <w:rtl w:val="0"/>
        </w:rPr>
        <w:t xml:space="preserve">, v. 55, n. 1, p. 55–88, 2002. Disponível em: &lt;http://journals.sagepub.com/doi/10.1177/0018726702055001606&gt;. Acesso em: 27 de set. de 2021.</w:t>
      </w:r>
    </w:p>
    <w:p w:rsidR="00000000" w:rsidDel="00000000" w:rsidP="00000000" w:rsidRDefault="00000000" w:rsidRPr="00000000" w14:paraId="000001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UFPR Litoral | Educação é a nossa praia. Disponível em: &lt;http://www.litoral.ufpr.br/portal/projetos-de-extensao/&gt;. Acesso em: 06 de maio de 2022.</w:t>
      </w:r>
    </w:p>
    <w:p w:rsidR="00000000" w:rsidDel="00000000" w:rsidP="00000000" w:rsidRDefault="00000000" w:rsidRPr="00000000" w14:paraId="000001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VEN, Andrew H. Van De; DELBECQ, André L. The Effectiveness of Nominal, Delphi, and Interacting Group Decision Making Processes. </w:t>
      </w:r>
      <w:r w:rsidDel="00000000" w:rsidR="00000000" w:rsidRPr="00000000">
        <w:rPr>
          <w:b w:val="1"/>
          <w:sz w:val="24"/>
          <w:szCs w:val="24"/>
          <w:rtl w:val="0"/>
        </w:rPr>
        <w:t xml:space="preserve">Academy of Management Journal</w:t>
      </w:r>
      <w:r w:rsidDel="00000000" w:rsidR="00000000" w:rsidRPr="00000000">
        <w:rPr>
          <w:sz w:val="24"/>
          <w:szCs w:val="24"/>
          <w:rtl w:val="0"/>
        </w:rPr>
        <w:t xml:space="preserve">, v. 17, n. 4, p. 605–621, 1974. Disponível em: &lt;http://journals.aom.org/doi/10.5465/255641&gt;. Acesso em: 28 de set. de 2021.</w:t>
      </w:r>
    </w:p>
    <w:p w:rsidR="00000000" w:rsidDel="00000000" w:rsidP="00000000" w:rsidRDefault="00000000" w:rsidRPr="00000000" w14:paraId="000001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WADDELL, P. UrbanSim: Modeling urban development for land use, transportation, and environmental planning. </w:t>
      </w:r>
      <w:r w:rsidDel="00000000" w:rsidR="00000000" w:rsidRPr="00000000">
        <w:rPr>
          <w:b w:val="1"/>
          <w:sz w:val="24"/>
          <w:szCs w:val="24"/>
          <w:rtl w:val="0"/>
        </w:rPr>
        <w:t xml:space="preserve">Journal of the American Planning Association</w:t>
      </w:r>
      <w:r w:rsidDel="00000000" w:rsidR="00000000" w:rsidRPr="00000000">
        <w:rPr>
          <w:sz w:val="24"/>
          <w:szCs w:val="24"/>
          <w:rtl w:val="0"/>
        </w:rPr>
        <w:t xml:space="preserve">, 68, n. 3, p. 297-314, 2002.</w:t>
      </w:r>
    </w:p>
    <w:p w:rsidR="00000000" w:rsidDel="00000000" w:rsidP="00000000" w:rsidRDefault="00000000" w:rsidRPr="00000000" w14:paraId="000001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WOODMAN, Richard W.; WAYNE, Sandy J. An Investigation of Positive-Findings Bias in Evaluation of Organization Development Interventions. </w:t>
      </w:r>
      <w:r w:rsidDel="00000000" w:rsidR="00000000" w:rsidRPr="00000000">
        <w:rPr>
          <w:b w:val="1"/>
          <w:sz w:val="24"/>
          <w:szCs w:val="24"/>
          <w:rtl w:val="0"/>
        </w:rPr>
        <w:t xml:space="preserve">Academy of Management Journal</w:t>
      </w:r>
      <w:r w:rsidDel="00000000" w:rsidR="00000000" w:rsidRPr="00000000">
        <w:rPr>
          <w:sz w:val="24"/>
          <w:szCs w:val="24"/>
          <w:rtl w:val="0"/>
        </w:rPr>
        <w:t xml:space="preserve">, v. 28, n. 4, p. 889–913, 1985. Disponível em: &lt;http://journals.aom.org/doi/10.5465/256243&gt;. Acesso em: 26 de set. de 2021.</w:t>
      </w:r>
    </w:p>
    <w:p w:rsidR="00000000" w:rsidDel="00000000" w:rsidP="00000000" w:rsidRDefault="00000000" w:rsidRPr="00000000" w14:paraId="000001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YATES, Joanne; ORLIKOWSKI, Wanda J. Genres of Organizational Communication: A Structurational Approach to Studying Communication and Media. </w:t>
      </w:r>
      <w:r w:rsidDel="00000000" w:rsidR="00000000" w:rsidRPr="00000000">
        <w:rPr>
          <w:b w:val="1"/>
          <w:sz w:val="24"/>
          <w:szCs w:val="24"/>
          <w:rtl w:val="0"/>
        </w:rPr>
        <w:t xml:space="preserve">Academy of Management Review</w:t>
      </w:r>
      <w:r w:rsidDel="00000000" w:rsidR="00000000" w:rsidRPr="00000000">
        <w:rPr>
          <w:sz w:val="24"/>
          <w:szCs w:val="24"/>
          <w:rtl w:val="0"/>
        </w:rPr>
        <w:t xml:space="preserve">, v. 17, n. 2, p. 299–326, 1992. Disponível em: &lt;http://journals.aom.org/doi/10.5465/amr.1992.4279545&gt;. Acesso em: 25 de set. de 2021.</w:t>
      </w:r>
    </w:p>
    <w:p w:rsidR="00000000" w:rsidDel="00000000" w:rsidP="00000000" w:rsidRDefault="00000000" w:rsidRPr="00000000" w14:paraId="000001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YIGITCANLAR, T.; O’CONNOR, K.; WESTERMAN, C. The making of knowledge cities: Melbourne’s knowledge-based urban development experience. </w:t>
      </w:r>
      <w:r w:rsidDel="00000000" w:rsidR="00000000" w:rsidRPr="00000000">
        <w:rPr>
          <w:b w:val="1"/>
          <w:sz w:val="24"/>
          <w:szCs w:val="24"/>
          <w:rtl w:val="0"/>
        </w:rPr>
        <w:t xml:space="preserve">Cities</w:t>
      </w:r>
      <w:r w:rsidDel="00000000" w:rsidR="00000000" w:rsidRPr="00000000">
        <w:rPr>
          <w:sz w:val="24"/>
          <w:szCs w:val="24"/>
          <w:rtl w:val="0"/>
        </w:rPr>
        <w:t xml:space="preserve">, 25, n. 2, p. 63-72, 2008.</w:t>
      </w:r>
    </w:p>
    <w:p w:rsidR="00000000" w:rsidDel="00000000" w:rsidP="00000000" w:rsidRDefault="00000000" w:rsidRPr="00000000" w14:paraId="000001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ZOUAIN, D. M.; PLONSKI, G. A. Science and Technology Parks: laboratories of innovation for urban development-an approach from Brazil. </w:t>
      </w:r>
      <w:r w:rsidDel="00000000" w:rsidR="00000000" w:rsidRPr="00000000">
        <w:rPr>
          <w:b w:val="1"/>
          <w:sz w:val="24"/>
          <w:szCs w:val="24"/>
          <w:rtl w:val="0"/>
        </w:rPr>
        <w:t xml:space="preserve">Triple Helix</w:t>
      </w:r>
      <w:r w:rsidDel="00000000" w:rsidR="00000000" w:rsidRPr="00000000">
        <w:rPr>
          <w:sz w:val="24"/>
          <w:szCs w:val="24"/>
          <w:rtl w:val="0"/>
        </w:rPr>
        <w:t xml:space="preserve">, 2, n. 1, p. 7-29,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701" w:left="1701" w:right="1134" w:header="709" w:footer="6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Realização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Apoio                                                                         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1073150</wp:posOffset>
          </wp:positionH>
          <wp:positionV relativeFrom="paragraph">
            <wp:posOffset>107950</wp:posOffset>
          </wp:positionV>
          <wp:extent cx="638175" cy="638175"/>
          <wp:effectExtent b="0" l="0" r="0" t="0"/>
          <wp:wrapNone/>
          <wp:docPr id="1026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1076325</wp:posOffset>
          </wp:positionH>
          <wp:positionV relativeFrom="paragraph">
            <wp:posOffset>3248025</wp:posOffset>
          </wp:positionV>
          <wp:extent cx="1647190" cy="704850"/>
          <wp:effectExtent b="0" l="0" r="0" t="0"/>
          <wp:wrapNone/>
          <wp:docPr id="103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719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3845559</wp:posOffset>
          </wp:positionH>
          <wp:positionV relativeFrom="paragraph">
            <wp:posOffset>171450</wp:posOffset>
          </wp:positionV>
          <wp:extent cx="847725" cy="262255"/>
          <wp:effectExtent b="0" l="0" r="0" t="0"/>
          <wp:wrapNone/>
          <wp:docPr id="1027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7725" cy="2622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3299459</wp:posOffset>
          </wp:positionH>
          <wp:positionV relativeFrom="paragraph">
            <wp:posOffset>85725</wp:posOffset>
          </wp:positionV>
          <wp:extent cx="357505" cy="440690"/>
          <wp:effectExtent b="0" l="0" r="0" t="0"/>
          <wp:wrapNone/>
          <wp:docPr id="102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7505" cy="4406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2244725</wp:posOffset>
          </wp:positionH>
          <wp:positionV relativeFrom="paragraph">
            <wp:posOffset>114300</wp:posOffset>
          </wp:positionV>
          <wp:extent cx="952500" cy="381000"/>
          <wp:effectExtent b="0" l="0" r="0" t="0"/>
          <wp:wrapNone/>
          <wp:docPr id="102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" cy="381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148590</wp:posOffset>
          </wp:positionH>
          <wp:positionV relativeFrom="paragraph">
            <wp:posOffset>142240</wp:posOffset>
          </wp:positionV>
          <wp:extent cx="1012190" cy="384175"/>
          <wp:effectExtent b="0" l="0" r="0" t="0"/>
          <wp:wrapNone/>
          <wp:docPr id="103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2190" cy="384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-671194</wp:posOffset>
          </wp:positionH>
          <wp:positionV relativeFrom="paragraph">
            <wp:posOffset>142240</wp:posOffset>
          </wp:positionV>
          <wp:extent cx="830580" cy="346075"/>
          <wp:effectExtent b="0" l="0" r="0" t="0"/>
          <wp:wrapNone/>
          <wp:docPr id="103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0580" cy="3460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747385" cy="870585"/>
          <wp:effectExtent b="0" l="0" r="0" t="0"/>
          <wp:docPr id="1030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7385" cy="8705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Calibri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Cambria" w:cs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Título4Char">
    <w:name w:val="Título 4 Char"/>
    <w:next w:val="Título4Char"/>
    <w:autoRedefine w:val="0"/>
    <w:hidden w:val="0"/>
    <w:qFormat w:val="0"/>
    <w:rPr>
      <w:rFonts w:ascii="Calibri" w:cs="Calibri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mário2">
    <w:name w:val="Sumário 2"/>
    <w:basedOn w:val="Normal"/>
    <w:next w:val="Normal"/>
    <w:autoRedefine w:val="0"/>
    <w:hidden w:val="0"/>
    <w:qFormat w:val="0"/>
    <w:pPr>
      <w:suppressAutoHyphens w:val="1"/>
      <w:spacing w:after="100" w:line="276" w:lineRule="auto"/>
      <w:ind w:left="220"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mário3">
    <w:name w:val="Sumário 3"/>
    <w:basedOn w:val="Normal"/>
    <w:next w:val="Normal"/>
    <w:autoRedefine w:val="0"/>
    <w:hidden w:val="0"/>
    <w:qFormat w:val="0"/>
    <w:pPr>
      <w:suppressAutoHyphens w:val="1"/>
      <w:spacing w:after="100" w:line="276" w:lineRule="auto"/>
      <w:ind w:left="440"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mário1">
    <w:name w:val="Sumário 1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çalhodoSumário1">
    <w:name w:val="Cabeçalho do Sumário1"/>
    <w:basedOn w:val="Título1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9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pt-BR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01-Texto">
    <w:name w:val="01 - Texto"/>
    <w:basedOn w:val="Normal"/>
    <w:next w:val="01-Texto"/>
    <w:autoRedefine w:val="0"/>
    <w:hidden w:val="0"/>
    <w:qFormat w:val="0"/>
    <w:pPr>
      <w:suppressAutoHyphens w:val="1"/>
      <w:spacing w:line="360" w:lineRule="auto"/>
      <w:ind w:leftChars="-1" w:rightChars="0" w:firstLine="1134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04-Referências">
    <w:name w:val="04 - Referências"/>
    <w:basedOn w:val="Normal"/>
    <w:next w:val="04-Referências"/>
    <w:autoRedefine w:val="0"/>
    <w:hidden w:val="0"/>
    <w:qFormat w:val="0"/>
    <w:pPr>
      <w:suppressAutoHyphens w:val="1"/>
      <w:spacing w:after="240" w:before="24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4Referências">
    <w:name w:val="4 Referências"/>
    <w:basedOn w:val="Normal"/>
    <w:next w:val="4Referências"/>
    <w:autoRedefine w:val="0"/>
    <w:hidden w:val="0"/>
    <w:qFormat w:val="0"/>
    <w:pPr>
      <w:suppressAutoHyphens w:val="1"/>
      <w:spacing w:after="24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western">
    <w:name w:val="western"/>
    <w:basedOn w:val="Normal"/>
    <w:next w:val="western"/>
    <w:autoRedefine w:val="0"/>
    <w:hidden w:val="0"/>
    <w:qFormat w:val="0"/>
    <w:pPr>
      <w:suppressAutoHyphens w:val="1"/>
      <w:spacing w:after="142" w:before="100" w:beforeAutospacing="1" w:line="288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color w:val="00000a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1.png"/><Relationship Id="rId3" Type="http://schemas.openxmlformats.org/officeDocument/2006/relationships/image" Target="media/image7.png"/><Relationship Id="rId4" Type="http://schemas.openxmlformats.org/officeDocument/2006/relationships/image" Target="media/image3.jpg"/><Relationship Id="rId5" Type="http://schemas.openxmlformats.org/officeDocument/2006/relationships/image" Target="media/image2.jpg"/><Relationship Id="rId6" Type="http://schemas.openxmlformats.org/officeDocument/2006/relationships/image" Target="media/image5.png"/><Relationship Id="rId7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Keo/5D6CgNiDLPewfmZkfry95Q==">AMUW2mXsj6Y/XccEHWuMx17tfCVFgwxhjP58Uuv5D3xhdvy8Z5Y5v4C63QEginNRbH2iFQZ8VUJ/JDWH0dHtkiHJrU4R67JEdnZxGecfJJLe52RzsMnovEA=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2022-08-05T18:14:00Z</dcterms:created>
  <dc:creator>Akeryus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1046-11.2.0.10200</vt:lpstr>
  </property>
</Properties>
</file>