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INCUBADORA SOCIAL AGITEC - UNESPAR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Alanna Louise Wolf Wudarski ¹ </w:t>
      </w:r>
    </w:p>
    <w:p w:rsidR="00000000" w:rsidDel="00000000" w:rsidP="00000000" w:rsidRDefault="00000000" w:rsidRPr="00000000" w14:paraId="00000005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Unespar/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Curitiba </w:t>
      </w: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- Embap</w:t>
      </w:r>
      <w:r w:rsidDel="00000000" w:rsidR="00000000" w:rsidRPr="00000000">
        <w:rPr>
          <w:sz w:val="24"/>
          <w:szCs w:val="24"/>
          <w:rtl w:val="0"/>
        </w:rPr>
        <w:t xml:space="preserve">, alanna.wolf@unespar.edu.br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Antenógines Leonel Pedroso 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Unespar/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Apucarana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antenogines.pedroso@unespar.edu.br</w:t>
      </w:r>
    </w:p>
    <w:p w:rsidR="00000000" w:rsidDel="00000000" w:rsidP="00000000" w:rsidRDefault="00000000" w:rsidRPr="00000000" w14:paraId="00000009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Sebastião Cavalcanti Neto ³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Unespar/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Campus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Paranaguá, </w:t>
      </w:r>
      <w:r w:rsidDel="00000000" w:rsidR="00000000" w:rsidRPr="00000000">
        <w:rPr>
          <w:sz w:val="24"/>
          <w:szCs w:val="24"/>
          <w:rtl w:val="0"/>
        </w:rPr>
        <w:t xml:space="preserve">sebastiao.cavalcanti@unespar.edu.br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Modalidade: </w:t>
      </w:r>
      <w:r w:rsidDel="00000000" w:rsidR="00000000" w:rsidRPr="00000000">
        <w:rPr>
          <w:sz w:val="24"/>
          <w:szCs w:val="24"/>
          <w:rtl w:val="0"/>
        </w:rPr>
        <w:t xml:space="preserve">Extensão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Programa Institucional: </w:t>
      </w:r>
      <w:r w:rsidDel="00000000" w:rsidR="00000000" w:rsidRPr="00000000">
        <w:rPr>
          <w:sz w:val="24"/>
          <w:szCs w:val="24"/>
          <w:rtl w:val="0"/>
        </w:rPr>
        <w:t xml:space="preserve">PIBEX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Grande Área do Conhecimento: </w:t>
      </w:r>
      <w:r w:rsidDel="00000000" w:rsidR="00000000" w:rsidRPr="00000000">
        <w:rPr>
          <w:sz w:val="24"/>
          <w:szCs w:val="24"/>
          <w:rtl w:val="0"/>
        </w:rPr>
        <w:t xml:space="preserve">Ciências Sociais Aplicadas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Incubadora Social da Agência de Inovação Tecnológica (AGITEC), vinculada à Universidade Estadual do Paraná (UNESPAR), tem como objetivo principal capacitar Organizações Não Governamentais (ONGs) para o desenvolvimento sustentável e a promoção da responsabilidade social. Este projeto de extensão universitária envolve a participação ativa de estudantes de graduação, pois "a extensão inovadora é um caminho para conectar a academia com a realidade social, permitindo que o conhecimento gerado nas universidades seja aplicado em contextos práticos e relevantes" (Campos; Pinheiro, 2021). A metodologia adotada inclui a elaboração de Planos de Negócios através da realização de aulas remotas, uma vez que "as incubadoras desempenham um papel crucial no desenvolvimento de empreendimentos sociais, oferecendo suporte técnico e estratégico que potencializa a sustentabilidade das organizações" (Azevedo; Teixeira, 2016). </w:t>
      </w:r>
    </w:p>
    <w:p w:rsidR="00000000" w:rsidDel="00000000" w:rsidP="00000000" w:rsidRDefault="00000000" w:rsidRPr="00000000" w14:paraId="00000014">
      <w:pPr>
        <w:spacing w:line="36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Desde sua implementação, a Incubadora Social da AGITEC já atendeu diversas ONGs, contribuindo para o fortalecimento de suas capacidades organizacionais e facilitando o acesso a recursos financeiros. Os resultados obtidos demonstram não apenas o impacto positivo nas instituições assistidas, mas também o desenvolvimento profissional dos estudantes envolvidos, que adquirem habilidades essenciais para o mercado de trabalho. Este artigo apresenta uma análise dos resultados alcançados até o momento, discutindo a importância da capacitação das ONGs e o papel fundamental da incubadora na promoção de um desenvolvimento social mais equitativo e sustentável.</w:t>
      </w:r>
    </w:p>
    <w:p w:rsidR="00000000" w:rsidDel="00000000" w:rsidP="00000000" w:rsidRDefault="00000000" w:rsidRPr="00000000" w14:paraId="00000015">
      <w:pPr>
        <w:tabs>
          <w:tab w:val="left" w:leader="none" w:pos="1890"/>
        </w:tabs>
        <w:spacing w:line="360" w:lineRule="auto"/>
        <w:ind w:firstLine="708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MATERIAIS E MÉTODOS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7">
      <w:pPr>
        <w:spacing w:after="240" w:before="240" w:line="36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artigo apresenta um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Relato de Experiência</w:t>
      </w:r>
      <w:r w:rsidDel="00000000" w:rsidR="00000000" w:rsidRPr="00000000">
        <w:rPr>
          <w:sz w:val="24"/>
          <w:szCs w:val="24"/>
          <w:rtl w:val="0"/>
        </w:rPr>
        <w:t xml:space="preserve"> com a Incubadora Social da Agência de Inovação Tecnológica (AGITEC) da Universidade Estadual do Paraná (UNESPAR), cuja proposta é fortalecer a capacidade organizacional de ONGs para fomentar o desenvolvimento sustentável e a responsabilidade social. O processo iniciou-se com o contato e a apresentação do projeto às ONGs de diversas cidades do estado do Paraná, destacando as propostas de capacitação em gestão, marketing, empreendedorismo social e elaboração de planos de negócios.</w:t>
      </w:r>
    </w:p>
    <w:p w:rsidR="00000000" w:rsidDel="00000000" w:rsidP="00000000" w:rsidRDefault="00000000" w:rsidRPr="00000000" w14:paraId="00000018">
      <w:pPr>
        <w:spacing w:after="240" w:before="240" w:line="36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essa edição, o projeto foi amplamente divulgado, e a Incubadora Social da AGITEC recebeu inscrições de 26 ONGs provenientes de cinco cidades: </w:t>
      </w:r>
      <w:r w:rsidDel="00000000" w:rsidR="00000000" w:rsidRPr="00000000">
        <w:rPr>
          <w:b w:val="1"/>
          <w:sz w:val="24"/>
          <w:szCs w:val="24"/>
          <w:rtl w:val="0"/>
        </w:rPr>
        <w:t xml:space="preserve">Apucarana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Curitiba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Paranaguá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Paranavaí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União da Vitória</w:t>
      </w:r>
      <w:r w:rsidDel="00000000" w:rsidR="00000000" w:rsidRPr="00000000">
        <w:rPr>
          <w:sz w:val="24"/>
          <w:szCs w:val="24"/>
          <w:rtl w:val="0"/>
        </w:rPr>
        <w:t xml:space="preserve">. Todas as organizações inscritas estavam alinhadas com os valores e objetivos da incubadora e foram selecionadas para participar das atividades de capacitação e mentoria.</w:t>
      </w:r>
    </w:p>
    <w:p w:rsidR="00000000" w:rsidDel="00000000" w:rsidP="00000000" w:rsidRDefault="00000000" w:rsidRPr="00000000" w14:paraId="00000019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longo do projeto, as 26 ONGs iniciaram a capacitação com o objetivo de desenvolver planos de negócios próprios, sendo orientadas para o fortalecimento de suas habilidades administrativas e organizacionais. O processo de capacitação foi estruturado em </w:t>
      </w:r>
      <w:r w:rsidDel="00000000" w:rsidR="00000000" w:rsidRPr="00000000">
        <w:rPr>
          <w:b w:val="1"/>
          <w:sz w:val="24"/>
          <w:szCs w:val="24"/>
          <w:rtl w:val="0"/>
        </w:rPr>
        <w:t xml:space="preserve">aulas quinzenais online</w:t>
      </w:r>
      <w:r w:rsidDel="00000000" w:rsidR="00000000" w:rsidRPr="00000000">
        <w:rPr>
          <w:sz w:val="24"/>
          <w:szCs w:val="24"/>
          <w:rtl w:val="0"/>
        </w:rPr>
        <w:t xml:space="preserve"> de 40 a 50 minutos, realizadas entre os meses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agosto de 2023 e junho de 2024</w:t>
      </w:r>
      <w:r w:rsidDel="00000000" w:rsidR="00000000" w:rsidRPr="00000000">
        <w:rPr>
          <w:sz w:val="24"/>
          <w:szCs w:val="24"/>
          <w:rtl w:val="0"/>
        </w:rPr>
        <w:t xml:space="preserve">. Essa metodologia de aulas remotas permitiu que todas as ONGs participantes, independentemente de sua localização, pudessem acessar o conteúdo, participar de mentorias e realizar consultas com professores especialistas, doutores e consultores convidados.</w:t>
      </w:r>
    </w:p>
    <w:p w:rsidR="00000000" w:rsidDel="00000000" w:rsidP="00000000" w:rsidRDefault="00000000" w:rsidRPr="00000000" w14:paraId="0000001A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aulas cobriram uma série de temas fundamentais para o desenvolvimento das ONGs, conforme descrito abaixo: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24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Administração Financeira</w:t>
      </w:r>
      <w:r w:rsidDel="00000000" w:rsidR="00000000" w:rsidRPr="00000000">
        <w:rPr>
          <w:sz w:val="24"/>
          <w:szCs w:val="24"/>
          <w:rtl w:val="0"/>
        </w:rPr>
        <w:t xml:space="preserve">: introdução às práticas de gestão financeira, com foco na sustentabilidade das finanças da ONG.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Aspectos Legais na Gestão de ONGs</w:t>
      </w:r>
      <w:r w:rsidDel="00000000" w:rsidR="00000000" w:rsidRPr="00000000">
        <w:rPr>
          <w:sz w:val="24"/>
          <w:szCs w:val="24"/>
          <w:rtl w:val="0"/>
        </w:rPr>
        <w:t xml:space="preserve">: orientações sobre obrigações legais e jurídicas para uma administração responsável e em conformidade com a legislação.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Contabilidade Social</w:t>
      </w:r>
      <w:r w:rsidDel="00000000" w:rsidR="00000000" w:rsidRPr="00000000">
        <w:rPr>
          <w:sz w:val="24"/>
          <w:szCs w:val="24"/>
          <w:rtl w:val="0"/>
        </w:rPr>
        <w:t xml:space="preserve">: noções de contabilidade voltadas para o terceiro setor, enfatizando transparência e responsabilidade fiscal.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Diagnóstico Organizacional</w:t>
      </w:r>
      <w:r w:rsidDel="00000000" w:rsidR="00000000" w:rsidRPr="00000000">
        <w:rPr>
          <w:sz w:val="24"/>
          <w:szCs w:val="24"/>
          <w:rtl w:val="0"/>
        </w:rPr>
        <w:t xml:space="preserve">: técnicas para análise e entendimento das necessidades e desafios específicos de cada ONG.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Economia Solidária</w:t>
      </w:r>
      <w:r w:rsidDel="00000000" w:rsidR="00000000" w:rsidRPr="00000000">
        <w:rPr>
          <w:sz w:val="24"/>
          <w:szCs w:val="24"/>
          <w:rtl w:val="0"/>
        </w:rPr>
        <w:t xml:space="preserve">: abordagens colaborativas para promover inclusão econômica e social.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Elaboração de Projetos</w:t>
      </w:r>
      <w:r w:rsidDel="00000000" w:rsidR="00000000" w:rsidRPr="00000000">
        <w:rPr>
          <w:sz w:val="24"/>
          <w:szCs w:val="24"/>
          <w:rtl w:val="0"/>
        </w:rPr>
        <w:t xml:space="preserve">: desenvolvimento de habilidades para a criação e gestão de projetos eficazes.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Elaborando Planos de Negócios</w:t>
      </w:r>
      <w:r w:rsidDel="00000000" w:rsidR="00000000" w:rsidRPr="00000000">
        <w:rPr>
          <w:sz w:val="24"/>
          <w:szCs w:val="24"/>
          <w:rtl w:val="0"/>
        </w:rPr>
        <w:t xml:space="preserve">: criação de planos de negócios estruturados para as ONGs em formato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pitch</w:t>
      </w:r>
      <w:r w:rsidDel="00000000" w:rsidR="00000000" w:rsidRPr="00000000">
        <w:rPr>
          <w:sz w:val="24"/>
          <w:szCs w:val="24"/>
          <w:rtl w:val="0"/>
        </w:rPr>
        <w:t xml:space="preserve">, facilitando a apresentação para potenciais apoiadores.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Empreendedorismo Social</w:t>
      </w:r>
      <w:r w:rsidDel="00000000" w:rsidR="00000000" w:rsidRPr="00000000">
        <w:rPr>
          <w:sz w:val="24"/>
          <w:szCs w:val="24"/>
          <w:rtl w:val="0"/>
        </w:rPr>
        <w:t xml:space="preserve">: incentivo ao desenvolvimento de iniciativas que gerem impacto social positivo.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Inovação Social</w:t>
      </w:r>
      <w:r w:rsidDel="00000000" w:rsidR="00000000" w:rsidRPr="00000000">
        <w:rPr>
          <w:sz w:val="24"/>
          <w:szCs w:val="24"/>
          <w:rtl w:val="0"/>
        </w:rPr>
        <w:t xml:space="preserve">: abordagens inovadoras e criativas para resolver problemas sociais.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Marketing Social</w:t>
      </w:r>
      <w:r w:rsidDel="00000000" w:rsidR="00000000" w:rsidRPr="00000000">
        <w:rPr>
          <w:sz w:val="24"/>
          <w:szCs w:val="24"/>
          <w:rtl w:val="0"/>
        </w:rPr>
        <w:t xml:space="preserve">: estratégias de comunicação e marketing focadas em aumentar a visibilidade e o impacto das ONGs.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Trabalhando com Pessoas</w:t>
      </w:r>
      <w:r w:rsidDel="00000000" w:rsidR="00000000" w:rsidRPr="00000000">
        <w:rPr>
          <w:sz w:val="24"/>
          <w:szCs w:val="24"/>
          <w:rtl w:val="0"/>
        </w:rPr>
        <w:t xml:space="preserve">: capacitação em gestão de equipes e engajamento dos colaboradores.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Desincubação</w:t>
      </w:r>
      <w:r w:rsidDel="00000000" w:rsidR="00000000" w:rsidRPr="00000000">
        <w:rPr>
          <w:sz w:val="24"/>
          <w:szCs w:val="24"/>
          <w:rtl w:val="0"/>
        </w:rPr>
        <w:t xml:space="preserve">: preparação para a autonomia das ONGs ao final do projeto.</w:t>
      </w:r>
    </w:p>
    <w:p w:rsidR="00000000" w:rsidDel="00000000" w:rsidP="00000000" w:rsidRDefault="00000000" w:rsidRPr="00000000" w14:paraId="00000027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Durante o programa, as ONGs participaram de mentorias e consultas individuais, onde receberam feedbacks personalizados sobre o desenvolvimento de seus planos de negócios e o aprimoramento de suas estratégias de atuação.</w:t>
      </w:r>
    </w:p>
    <w:p w:rsidR="00000000" w:rsidDel="00000000" w:rsidP="00000000" w:rsidRDefault="00000000" w:rsidRPr="00000000" w14:paraId="00000028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cidade participante possuía um escritório da AGITEC (Agência de Inovação Tecnológica), com o Projeto da Incubadora Social da Agitec, composto por uma equipe  de apoio que tinha como função orientar, acompanhar e mentorar as ONGs ao longo de todo o processo de incubação. Essas equipes locais, formadas por alunos de graduação, especialistas, professores e consultores da UNESPAR, estavam disponíveis para esclarecer dúvidas e oferecer suporte técnico e administrativo em tempo real. Esse suporte próximo foi essencial para atender as necessidades específicas de cada ONG, assegurando que cada uma tivesse um acompanhamento personalizado e recursos necessários para superar desafios e aproveitar as oportunidades de aprendizado oferecidas pela incubadora. Dessa forma, a Incubadora Social da AGITEC buscou promover um ambiente de incubação acolhedor e eficiente, facilitando o progresso das ONGs durante a incubação.</w:t>
      </w:r>
    </w:p>
    <w:p w:rsidR="00000000" w:rsidDel="00000000" w:rsidP="00000000" w:rsidRDefault="00000000" w:rsidRPr="00000000" w14:paraId="00000029">
      <w:pPr>
        <w:spacing w:after="240" w:before="240" w:line="36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final do processo, 7 ONGs conseguiram concluir seus planos de negócios e foram desincubadas, demonstrando capacidade para se manterem autossustentáveis. As organizações que concluíram o processo foram: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24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+Músicos</w:t>
      </w:r>
      <w:r w:rsidDel="00000000" w:rsidR="00000000" w:rsidRPr="00000000">
        <w:rPr>
          <w:sz w:val="24"/>
          <w:szCs w:val="24"/>
          <w:rtl w:val="0"/>
        </w:rPr>
        <w:t xml:space="preserve"> - O projeto +Músicos visa desenvolver a sensibilidade artística e a formação de novos músicos, promovendo a identidade cultural e o bem-estar através do ensino musical, com aulas práticas e teóricas para crianças, adolescentes e adultos da comunidade na cidade de Curitiba, 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Conecta Comunidade FabLab</w:t>
      </w:r>
      <w:r w:rsidDel="00000000" w:rsidR="00000000" w:rsidRPr="00000000">
        <w:rPr>
          <w:sz w:val="24"/>
          <w:szCs w:val="24"/>
          <w:rtl w:val="0"/>
        </w:rPr>
        <w:t xml:space="preserve"> -  O Conecta FABLAB é um espaço colaborativo e inclusivo em Curitiba, criado para promover habilidades tecnológicas e inovadoras, oferecendo um FabLab, coworking, cursos acessíveis e projetos comunitários em áreas como design, eletrônica e programação na cidade de Curitiba, 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Lar de Nazaré Moradia e Cuidado de Idosos</w:t>
      </w:r>
      <w:r w:rsidDel="00000000" w:rsidR="00000000" w:rsidRPr="00000000">
        <w:rPr>
          <w:sz w:val="24"/>
          <w:szCs w:val="24"/>
          <w:rtl w:val="0"/>
        </w:rPr>
        <w:t xml:space="preserve"> -  O Lar de Nazaré é uma associação beneficente que desde 1980 oferece moradia e cuidados integrais a idosos, proporcionando serviços de saúde, assistência social e integração comunitária, com o objetivo de promover dignidade, qualidade de vida e inclusão social para seus residentes, respeitando sua diversidade e fortalecendo vínculos familiares e comunitários na cidade de União da Vitória, 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before="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Associação Autismo sem barreiras</w:t>
      </w:r>
      <w:r w:rsidDel="00000000" w:rsidR="00000000" w:rsidRPr="00000000">
        <w:rPr>
          <w:sz w:val="24"/>
          <w:szCs w:val="24"/>
          <w:rtl w:val="0"/>
        </w:rPr>
        <w:t xml:space="preserve"> - A Associação Autismo sem Barreiras é uma entidade que oferece suporte, orientação e acesso a terapias especializadas para famílias de pessoas com Transtorno do Espectro Autista (TEA), promovendo a inclusão e defendendo os direitos dos autistas na cidade de União da Vitória, PR.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ARES – Associação Recanto da Sobriedade</w:t>
      </w:r>
      <w:r w:rsidDel="00000000" w:rsidR="00000000" w:rsidRPr="00000000">
        <w:rPr>
          <w:sz w:val="24"/>
          <w:szCs w:val="24"/>
          <w:rtl w:val="0"/>
        </w:rPr>
        <w:t xml:space="preserve"> -  A Associação Recanto da Sobriedade (ARES) oferece assistência psicossocial e terapêutica a homens de 18 a 60 anos com transtornos mentais devido ao uso de substâncias psicoativas, promovendo atividades e terapias voltadas à recuperação, manutenção da sobriedade e reintegração social na cidade de União da Vitória, 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before="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RFCC – Rede Feminina de Combate ao Câncer</w:t>
      </w:r>
      <w:r w:rsidDel="00000000" w:rsidR="00000000" w:rsidRPr="00000000">
        <w:rPr>
          <w:sz w:val="24"/>
          <w:szCs w:val="24"/>
          <w:rtl w:val="0"/>
        </w:rPr>
        <w:t xml:space="preserve"> - A Rede Feminina de Combate ao Câncer (RFCC) oferece acolhimento e suporte para melhorar a qualidade de vida de pacientes oncológicos e seus familiares, promovendo humanização no tratamento e prevenindo o câncer de forma precoce nas cidades de União da Vitória e Porto União.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SFINGE – Associação Esportiva Educacional</w:t>
      </w:r>
      <w:r w:rsidDel="00000000" w:rsidR="00000000" w:rsidRPr="00000000">
        <w:rPr>
          <w:sz w:val="24"/>
          <w:szCs w:val="24"/>
          <w:rtl w:val="0"/>
        </w:rPr>
        <w:t xml:space="preserve"> - A Associação Esportiva e Educacional Sfinge promove inclusão social e desenvolvimento saudável para crianças, adolescentes e jovens por meio do esporte, especialmente futsal, e de atividades educacionais, visando afastá-los de situações de vulnerabilidade e oferecer oportunidades de crescimento pessoal e comunitário nas regiões de União da Vitória e Porto União.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desincubação de cada uma dessas ONGs representa um marco em suas trajetórias, pois por conta desse processo vivenciado passaram a ter maior autonomia e fortalecimento organizacional para suas atividades.</w:t>
      </w:r>
    </w:p>
    <w:p w:rsidR="00000000" w:rsidDel="00000000" w:rsidP="00000000" w:rsidRDefault="00000000" w:rsidRPr="00000000" w14:paraId="00000032">
      <w:pPr>
        <w:spacing w:after="240" w:before="240" w:line="360" w:lineRule="auto"/>
        <w:ind w:firstLine="720"/>
        <w:jc w:val="both"/>
        <w:rPr>
          <w:strike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 metodologia empregada de aulas remotas e quinzenais, com especialistas das áreas de gestão, marketing e empreendedorismo, mostrou-se eficaz em atender às necessidades das ONGs, permitindo que pudessem aplicar diretamente os conhecimentos adquiridos em suas práticas diárias.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RESULTADOS E DISCUSSÕES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experiência com a Incubadora Social da AGITEC (Agência de Inovação Tecnológica) trouxe resultados significativos, tanto para as ONGs participantes quanto para a própria equipe de mentoria e suporte do projeto. O processo de incubação contribuiu para a estruturação e fortalecimento das práticas administrativas das ONGs, proporcionando um impacto positivo na gestão e organização interna das mesmas. A partir das capacitações, as ONGs desenvolveram planos de negócios mais sólidos e ganharam maior autonomia para buscar recursos e implementar suas ações. </w:t>
      </w:r>
    </w:p>
    <w:p w:rsidR="00000000" w:rsidDel="00000000" w:rsidP="00000000" w:rsidRDefault="00000000" w:rsidRPr="00000000" w14:paraId="00000035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resultados positivos são refletidos no sucesso de 7 ONGs que concluíram o processo com êxito e alcançaram a desincubação, evidenciando o impacto transformador do projeto nas comunidades, uma vez que "as incubadoras não apenas oferecem suporte técnico, mas também promovem uma mudança cultural que capacita as organizações a se tornarem mais autônomas e inovadoras" (Mendonça et al., 2024).</w:t>
      </w:r>
    </w:p>
    <w:p w:rsidR="00000000" w:rsidDel="00000000" w:rsidP="00000000" w:rsidRDefault="00000000" w:rsidRPr="00000000" w14:paraId="00000036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Apesar dos bons resultados alcançados, algumas áreas foram identificadas como oportunidades de melhoria para futuras edições do programa. Essas áreas são discutidas a seguir: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before="24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Capacitação das Equipes Locais de Apoio</w:t>
      </w:r>
      <w:r w:rsidDel="00000000" w:rsidR="00000000" w:rsidRPr="00000000">
        <w:rPr>
          <w:sz w:val="24"/>
          <w:szCs w:val="24"/>
          <w:rtl w:val="0"/>
        </w:rPr>
        <w:t xml:space="preserve">: A experiência demonstrou que as equipes locais desempenham um papel crucial no sucesso da incubação. Para melhorar o suporte oferecido, acredita-se que workshops e treinamentos mais específicos e frequentes seriam benéficos. Essas capacitações adicionais poderiam incluir temas como gestão de projetos sociais, comunicação com o terceiro setor e estratégias de captação de recursos, permitindo que as equipes estejam ainda mais preparadas para lidar com as necessidades diversas das ONGs.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before="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 Didático para Treinamento da Equipe</w:t>
      </w:r>
      <w:r w:rsidDel="00000000" w:rsidR="00000000" w:rsidRPr="00000000">
        <w:rPr>
          <w:sz w:val="24"/>
          <w:szCs w:val="24"/>
          <w:rtl w:val="0"/>
        </w:rPr>
        <w:t xml:space="preserve">: Observou-se também a necessidade de um material didático específico para a formação das equipes locais, que pudesse ser consultado periodicamente e servisse como guia de boas práticas e estratégias de atendimento. Esse material poderia incluir orientações sobre acompanhamento de projetos, gestão de relacionamento com as ONGs, e técnicas de mentoria. Com isso, a equipe da Incubadora Social da AGITEC teria um referencial para manter o padrão de atendimento e apoio em todas as cidades participantes.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before="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 Didático para as ONGs Participantes</w:t>
      </w:r>
      <w:r w:rsidDel="00000000" w:rsidR="00000000" w:rsidRPr="00000000">
        <w:rPr>
          <w:sz w:val="24"/>
          <w:szCs w:val="24"/>
          <w:rtl w:val="0"/>
        </w:rPr>
        <w:t xml:space="preserve">: Durante o programa, foi percebida a importância de fornecer às ONGs um material de referência, consolidando o conteúdo das aulas em uma plataforma acessível. Esse material, além de abordar os temas de cada módulo, como Administração Financeira, Marketing Social e Empreendedorismo Social, poderia incluir recursos adicionais, como links para sites, contatos de organizações de apoio, e dicas práticas para implementação dos conceitos abordados. Com um material de consulta acessível, as ONGs poderiam revisar o conteúdo conforme necessário e buscar mais informações para o desenvolvimento contínuo de suas iniciativas.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before="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Maior Enfoque em Captação de Recursos</w:t>
      </w:r>
      <w:r w:rsidDel="00000000" w:rsidR="00000000" w:rsidRPr="00000000">
        <w:rPr>
          <w:sz w:val="24"/>
          <w:szCs w:val="24"/>
          <w:rtl w:val="0"/>
        </w:rPr>
        <w:t xml:space="preserve">: Um dos desafios mais comuns enfrentados pelas ONGs está relacionado à captação de recursos para a continuidade de seus projetos. Embora esse tema tenha sido abordado no módulo de Elaboração de Projetos e Empreendedorismo Social, considera-se que um aprofundamento adicional nesse tema traria ainda mais benefícios. Sugere-se que, nas próximas edições, sejam realizadas sessões específicas focadas em estratégias de captação de recursos, que incluam informações sobre editais de financiamento, plataformas de financiamento coletivo e parcerias com o setor privado. Também seria útil incluir estudos de caso e exemplos práticos de ONGs que obtiveram sucesso em captar recursos, o que poderia inspirar e guiar as organizações incubadas.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240" w:before="0" w:line="36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Estruturado e Monitoramento Pós-desincubação</w:t>
      </w:r>
      <w:r w:rsidDel="00000000" w:rsidR="00000000" w:rsidRPr="00000000">
        <w:rPr>
          <w:sz w:val="24"/>
          <w:szCs w:val="24"/>
          <w:rtl w:val="0"/>
        </w:rPr>
        <w:t xml:space="preserve">: Outro ponto relevante observado foi a necessidade de um monitoramento contínuo das ONGs após o processo de desincubação. Implementar um sistema de feedback estruturado, que permita às ONGs relatar suas dificuldades e sucessos, ajudaria a equipe da Incubadora Social da AGITEC a compreender melhor o impacto da incubação a longo prazo. Além disso, um acompanhamento periódico com as ONGs desincubadas facilitaria o oferecimento de suporte adicional e o fortalecimento da rede de relacionamento entre as ONGs e a incubadora.</w:t>
      </w:r>
    </w:p>
    <w:p w:rsidR="00000000" w:rsidDel="00000000" w:rsidP="00000000" w:rsidRDefault="00000000" w:rsidRPr="00000000" w14:paraId="0000003C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resumo, os resultados positivos da incubação destacam o impacto transformador do projeto nas ONGs, que puderam aprimorar sua gestão, visibilidade e sustentabilidade, pois "a verdadeira inovação social ocorre quando as comunidades são empoderadas para criar soluções que atendam às suas próprias necessidades" (Prahalad, 2004). No entanto, com a implementação das melhorias discutidas, como o treinamento especializado das equipes, o desenvolvimento de materiais didáticos e o aprofundamento em captação de recursos, a Incubadora Social da AGITEC poderá otimizar ainda mais sua metodologia de apoio, garantindo que cada ONG tenha o suporte necessário para alcançar seus objetivos de maneira sustentável e eficaz.</w:t>
      </w:r>
    </w:p>
    <w:p w:rsidR="00000000" w:rsidDel="00000000" w:rsidP="00000000" w:rsidRDefault="00000000" w:rsidRPr="00000000" w14:paraId="0000003D">
      <w:pPr>
        <w:spacing w:after="240" w:before="240" w:line="360" w:lineRule="auto"/>
        <w:ind w:left="0" w:firstLine="0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CONSIDERAÇÕES FINAIS </w:t>
      </w:r>
    </w:p>
    <w:p w:rsidR="00000000" w:rsidDel="00000000" w:rsidP="00000000" w:rsidRDefault="00000000" w:rsidRPr="00000000" w14:paraId="0000003E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experiência com a Incubadora Social da AGITEC evidenciou o papel fundamental de um programa estruturado de capacitação e mentoria para o fortalecimento das ONGs no estado do Paraná. Com um cronograma de aulas remotas e apoio de equipes locais, o projeto ofereceu uma formação prática em áreas essenciais como Administração Financeira, Marketing Social e Empreendedorismo Social, o que possibilitou que as ONGs desenvolvessem seus planos de negócios e adquirissem maior autonomia organizacional.</w:t>
      </w:r>
    </w:p>
    <w:p w:rsidR="00000000" w:rsidDel="00000000" w:rsidP="00000000" w:rsidRDefault="00000000" w:rsidRPr="00000000" w14:paraId="0000003F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resultados positivos são refletidos no sucesso de 7 ONGs que alcançaram a desincubação, agora com uma base mais sólida para a continuidade de suas atividades e para o desenvolvimento de novos projetos. A metodologia híbrida, que combinou aulas online e apoio presencial através dos escritórios locais da AGITEC, mostrou-se uma estratégia eficaz para atender as demandas regionais e garantir o acesso ao conteúdo por ONGs de diversas localidades.</w:t>
      </w:r>
    </w:p>
    <w:p w:rsidR="00000000" w:rsidDel="00000000" w:rsidP="00000000" w:rsidRDefault="00000000" w:rsidRPr="00000000" w14:paraId="00000040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discussões realizadas apontaram ainda para a importância de aprimorar o suporte oferecido às ONGs e às equipes de mentoria. Investir em workshops de formação e materiais didáticos específicos, tanto para os mentores quanto para as ONGs participantes, proporcionará um maior alinhamento nos atendimentos e ampliará o conhecimento disponível para consultas futuras. Além disso, o enfoque adicional em captação de recursos e um monitoramento pós-desincubação fortalecerão o impacto a longo prazo do projeto, ajudando as ONGs a se manterem sustentáveis e alinhadas com seus objetivos sociais.</w:t>
      </w:r>
    </w:p>
    <w:p w:rsidR="00000000" w:rsidDel="00000000" w:rsidP="00000000" w:rsidRDefault="00000000" w:rsidRPr="00000000" w14:paraId="00000041">
      <w:pPr>
        <w:spacing w:after="240" w:before="240" w:line="360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 experiência com a Incubadora Social da AGITEC representa, assim, uma contribuição significativa para o desenvolvimento social e econômico das comunidades atendidas. O aprimoramento contínuo do programa, com as melhorias sugeridas, potencializará ainda mais os resultados nas próximas edições, reafirmando o compromisso da AGITEC (Agência de Inovação Tecnológica) com o fortalecimento do terceiro setor e a promoção de iniciativas que beneficiem a sociedade de maneira sustentável.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40" w:before="24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firstLine="70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ABREU, F. C.; SOUZA, Y. S.; GONÇALO, C. R. </w:t>
      </w:r>
      <w:r w:rsidDel="00000000" w:rsidR="00000000" w:rsidRPr="00000000">
        <w:rPr>
          <w:b w:val="1"/>
          <w:sz w:val="24"/>
          <w:szCs w:val="24"/>
          <w:rtl w:val="0"/>
        </w:rPr>
        <w:t xml:space="preserve">Aprendizagem e criação do conhecimento em incubadoras.</w:t>
      </w:r>
      <w:r w:rsidDel="00000000" w:rsidR="00000000" w:rsidRPr="00000000">
        <w:rPr>
          <w:sz w:val="24"/>
          <w:szCs w:val="24"/>
          <w:rtl w:val="0"/>
        </w:rPr>
        <w:t xml:space="preserve"> In: ENANPAD - Encontro Nacional da Associação de Pós-Graduação e Pesquisa em Administração — Anais... p. 16, 2006. Salvador – BA, Brasil.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AZEVEDO, I. S. C.; TEIXEIRA, C. S. (orgs). </w:t>
      </w:r>
      <w:r w:rsidDel="00000000" w:rsidR="00000000" w:rsidRPr="00000000">
        <w:rPr>
          <w:b w:val="1"/>
          <w:sz w:val="24"/>
          <w:szCs w:val="24"/>
          <w:rtl w:val="0"/>
        </w:rPr>
        <w:t xml:space="preserve">Incubadoras: alinhamento conceitual</w:t>
      </w:r>
      <w:r w:rsidDel="00000000" w:rsidR="00000000" w:rsidRPr="00000000">
        <w:rPr>
          <w:sz w:val="24"/>
          <w:szCs w:val="24"/>
          <w:rtl w:val="0"/>
        </w:rPr>
        <w:t xml:space="preserve"> [recurso eletrônico]. Florianópolis: Perse, 2016. Disponível em: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https://via.ufsc.br/wp-content/uploads/2017/07/e-book-incubadoras.pdf</w:t>
        </w:r>
      </w:hyperlink>
      <w:r w:rsidDel="00000000" w:rsidR="00000000" w:rsidRPr="00000000">
        <w:rPr>
          <w:sz w:val="24"/>
          <w:szCs w:val="24"/>
          <w:rtl w:val="0"/>
        </w:rPr>
        <w:t xml:space="preserve"> Acesso em: 25 out. 2024.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CAMPOS, V. F.; PINHEIRO, E. </w:t>
      </w:r>
      <w:r w:rsidDel="00000000" w:rsidR="00000000" w:rsidRPr="00000000">
        <w:rPr>
          <w:b w:val="1"/>
          <w:sz w:val="24"/>
          <w:szCs w:val="24"/>
          <w:rtl w:val="0"/>
        </w:rPr>
        <w:t xml:space="preserve">Inovação: extensão inovadora e inovação social. </w:t>
      </w:r>
      <w:r w:rsidDel="00000000" w:rsidR="00000000" w:rsidRPr="00000000">
        <w:rPr>
          <w:sz w:val="24"/>
          <w:szCs w:val="24"/>
          <w:rtl w:val="0"/>
        </w:rPr>
        <w:t xml:space="preserve">Expressa Extensão, v. 27, n. 1, p. 2-4, 2021. Disponível em: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https://periodicos.ufpel.edu.br/index.php/expressaextensao/article/view/22127</w:t>
        </w:r>
      </w:hyperlink>
      <w:r w:rsidDel="00000000" w:rsidR="00000000" w:rsidRPr="00000000">
        <w:rPr>
          <w:sz w:val="24"/>
          <w:szCs w:val="24"/>
          <w:rtl w:val="0"/>
        </w:rPr>
        <w:t xml:space="preserve"> Acesso em: 25 out. 2024.</w:t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CURI FILHO, W. R.; ALVES, J. C. M.; SILVA, F. F.; VIANA, F. D. F.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Desenvolvimento local e economia solidária: a experiência da Incubadora de Empreendimentos Solidários da UFOP (INCOP).</w:t>
      </w:r>
      <w:r w:rsidDel="00000000" w:rsidR="00000000" w:rsidRPr="00000000">
        <w:rPr>
          <w:sz w:val="24"/>
          <w:szCs w:val="24"/>
          <w:rtl w:val="0"/>
        </w:rPr>
        <w:t xml:space="preserve"> 2015. Disponível em: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http://www.repositorio.ufop.br/handle/123456789/5816</w:t>
        </w:r>
      </w:hyperlink>
      <w:r w:rsidDel="00000000" w:rsidR="00000000" w:rsidRPr="00000000">
        <w:rPr>
          <w:sz w:val="24"/>
          <w:szCs w:val="24"/>
          <w:rtl w:val="0"/>
        </w:rPr>
        <w:t xml:space="preserve">  Acesso em: 25 out. 2024.</w:t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JORGE, G.; SILVA, V.; EDUARDO; MONTEIRO, C. </w:t>
      </w:r>
      <w:r w:rsidDel="00000000" w:rsidR="00000000" w:rsidRPr="00000000">
        <w:rPr>
          <w:b w:val="1"/>
          <w:sz w:val="24"/>
          <w:szCs w:val="24"/>
          <w:rtl w:val="0"/>
        </w:rPr>
        <w:t xml:space="preserve">O estímulo ao empreendedorismo por meio do ensino, da pesquisa e da extensão.</w:t>
      </w:r>
      <w:r w:rsidDel="00000000" w:rsidR="00000000" w:rsidRPr="00000000">
        <w:rPr>
          <w:sz w:val="24"/>
          <w:szCs w:val="24"/>
          <w:rtl w:val="0"/>
        </w:rPr>
        <w:t xml:space="preserve"> Revista Pleiade, v. 12, n. 25, p. 126-141, 2019. Disponível em: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https://pleiade.uniamerica.br/index.php/pleiade/article/view/454</w:t>
        </w:r>
      </w:hyperlink>
      <w:r w:rsidDel="00000000" w:rsidR="00000000" w:rsidRPr="00000000">
        <w:rPr>
          <w:sz w:val="24"/>
          <w:szCs w:val="24"/>
          <w:rtl w:val="0"/>
        </w:rPr>
        <w:t xml:space="preserve"> Acesso em: 25 out. 2024.</w:t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MENDONÇA, M. T.; QUEVEDO PIRES DE OLIVEIRA E SILVA, F.; PAULETTO SPANHOL, C.</w:t>
      </w:r>
      <w:r w:rsidDel="00000000" w:rsidR="00000000" w:rsidRPr="00000000">
        <w:rPr>
          <w:b w:val="1"/>
          <w:sz w:val="24"/>
          <w:szCs w:val="24"/>
          <w:rtl w:val="0"/>
        </w:rPr>
        <w:t xml:space="preserve"> O valor transformador na percepção dos empreendimentos incubados no Brasil.</w:t>
      </w:r>
      <w:r w:rsidDel="00000000" w:rsidR="00000000" w:rsidRPr="00000000">
        <w:rPr>
          <w:sz w:val="24"/>
          <w:szCs w:val="24"/>
          <w:rtl w:val="0"/>
        </w:rPr>
        <w:t xml:space="preserve"> Anais do Simpósio Sul-Mato-Grossense de Administração, v. 7, n. 7, p. 70-95, 2024. Disponível em: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https://periodicos.ufms.br/index.php/SIMSAD/article/view/21902</w:t>
        </w:r>
      </w:hyperlink>
      <w:r w:rsidDel="00000000" w:rsidR="00000000" w:rsidRPr="00000000">
        <w:rPr>
          <w:sz w:val="24"/>
          <w:szCs w:val="24"/>
          <w:rtl w:val="0"/>
        </w:rPr>
        <w:t xml:space="preserve"> Acesso em: 25 out. 2024.</w:t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PRAHALAD, C. K.; HART, S. L.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fortune at the bottom of the pyramid. </w:t>
      </w:r>
      <w:r w:rsidDel="00000000" w:rsidR="00000000" w:rsidRPr="00000000">
        <w:rPr>
          <w:sz w:val="24"/>
          <w:szCs w:val="24"/>
          <w:rtl w:val="0"/>
        </w:rPr>
        <w:t xml:space="preserve">Strategy+Business, n. 26, p. 54-67, 2002.</w:t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PRAHALAD, C. K.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fortune at the bottom of the pyramid: eradicating poverty through profits. </w:t>
      </w:r>
      <w:r w:rsidDel="00000000" w:rsidR="00000000" w:rsidRPr="00000000">
        <w:rPr>
          <w:sz w:val="24"/>
          <w:szCs w:val="24"/>
          <w:rtl w:val="0"/>
        </w:rPr>
        <w:t xml:space="preserve">Wharton School Publishing, 2004.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8" w:top="1402" w:left="1701" w:right="1134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-1172206</wp:posOffset>
          </wp:positionH>
          <wp:positionV relativeFrom="paragraph">
            <wp:posOffset>0</wp:posOffset>
          </wp:positionV>
          <wp:extent cx="7621270" cy="989965"/>
          <wp:effectExtent b="0" l="0" r="0" t="0"/>
          <wp:wrapSquare wrapText="bothSides" distB="0" distT="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59" l="0" r="0" t="0"/>
                  <a:stretch>
                    <a:fillRect/>
                  </a:stretch>
                </pic:blipFill>
                <pic:spPr>
                  <a:xfrm>
                    <a:off x="0" y="0"/>
                    <a:ext cx="7621270" cy="9899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1080135</wp:posOffset>
          </wp:positionH>
          <wp:positionV relativeFrom="paragraph">
            <wp:posOffset>9833610</wp:posOffset>
          </wp:positionV>
          <wp:extent cx="5226050" cy="871855"/>
          <wp:effectExtent b="0" l="0" r="0" t="0"/>
          <wp:wrapNone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6050" cy="871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1080135</wp:posOffset>
          </wp:positionH>
          <wp:positionV relativeFrom="paragraph">
            <wp:posOffset>9833610</wp:posOffset>
          </wp:positionV>
          <wp:extent cx="5226050" cy="871855"/>
          <wp:effectExtent b="0" l="0" r="0" t="0"/>
          <wp:wrapNone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6050" cy="8718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1080135</wp:posOffset>
          </wp:positionH>
          <wp:positionV relativeFrom="paragraph">
            <wp:posOffset>9833610</wp:posOffset>
          </wp:positionV>
          <wp:extent cx="5226050" cy="871855"/>
          <wp:effectExtent b="0" l="0" r="0" t="0"/>
          <wp:wrapNone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6050" cy="8718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1080135</wp:posOffset>
          </wp:positionH>
          <wp:positionV relativeFrom="paragraph">
            <wp:posOffset>9833610</wp:posOffset>
          </wp:positionV>
          <wp:extent cx="5226050" cy="871855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6050" cy="8718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-1315717</wp:posOffset>
          </wp:positionH>
          <wp:positionV relativeFrom="paragraph">
            <wp:posOffset>-448304</wp:posOffset>
          </wp:positionV>
          <wp:extent cx="7621905" cy="1587500"/>
          <wp:effectExtent b="0" l="0" r="0" t="0"/>
          <wp:wrapSquare wrapText="bothSides" distB="0" distT="0" distL="114300" distR="11430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1905" cy="1587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0" w:before="28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56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mário2">
    <w:name w:val="Sumário 2"/>
    <w:basedOn w:val="Normal"/>
    <w:next w:val="Normal"/>
    <w:autoRedefine w:val="0"/>
    <w:hidden w:val="0"/>
    <w:qFormat w:val="0"/>
    <w:pPr>
      <w:suppressAutoHyphens w:val="1"/>
      <w:spacing w:after="100" w:line="276" w:lineRule="auto"/>
      <w:ind w:left="220"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mário3">
    <w:name w:val="Sumário 3"/>
    <w:basedOn w:val="Normal"/>
    <w:next w:val="Normal"/>
    <w:autoRedefine w:val="0"/>
    <w:hidden w:val="0"/>
    <w:qFormat w:val="0"/>
    <w:pPr>
      <w:suppressAutoHyphens w:val="1"/>
      <w:spacing w:after="100" w:line="276" w:lineRule="auto"/>
      <w:ind w:left="440"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mário1">
    <w:name w:val="Sumário 1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doSumário1">
    <w:name w:val="Cabeçalho do Sumário1"/>
    <w:basedOn w:val="Título1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9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01-Texto">
    <w:name w:val="01 - Texto"/>
    <w:basedOn w:val="Normal"/>
    <w:next w:val="01-Texto"/>
    <w:autoRedefine w:val="0"/>
    <w:hidden w:val="0"/>
    <w:qFormat w:val="0"/>
    <w:pPr>
      <w:suppressAutoHyphens w:val="1"/>
      <w:spacing w:line="360" w:lineRule="auto"/>
      <w:ind w:leftChars="-1" w:rightChars="0" w:firstLine="1134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04-Referências">
    <w:name w:val="04 - Referências"/>
    <w:basedOn w:val="Normal"/>
    <w:next w:val="04-Referências"/>
    <w:autoRedefine w:val="0"/>
    <w:hidden w:val="0"/>
    <w:qFormat w:val="0"/>
    <w:pPr>
      <w:suppressAutoHyphens w:val="1"/>
      <w:spacing w:after="240"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4Referências">
    <w:name w:val="4 Referências"/>
    <w:basedOn w:val="Normal"/>
    <w:next w:val="4Referências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42" w:before="100" w:beforeAutospacing="1" w:line="288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eriodicos.ufms.br/index.php/SIMSAD/article/view/21902" TargetMode="External"/><Relationship Id="rId10" Type="http://schemas.openxmlformats.org/officeDocument/2006/relationships/hyperlink" Target="https://pleiade.uniamerica.br/index.php/pleiade/article/view/454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epositorio.ufop.br/handle/123456789/581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ia.ufsc.br/wp-content/uploads/2017/07/e-book-incubadoras.pdf" TargetMode="External"/><Relationship Id="rId8" Type="http://schemas.openxmlformats.org/officeDocument/2006/relationships/hyperlink" Target="https://periodicos.ufpel.edu.br/index.php/expressaextensao/article/view/22127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f+Q0cNEEkifABG8rWmNYE9gjg==">CgMxLjA4AHIhMWdOX3J3NDkzWVFBeTFLaGFnNm5XNl8zVnM2RjM0VjNH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2022-08-05T18:14:00Z</dcterms:created>
  <dc:creator>Akeryus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