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5D3D" w14:textId="77777777" w:rsidR="00262AC4" w:rsidRPr="00262AC4" w:rsidRDefault="00262AC4" w:rsidP="006A2C5F">
      <w:pPr>
        <w:pStyle w:val="SemEspaamento"/>
        <w:jc w:val="center"/>
        <w:rPr>
          <w:b/>
          <w:sz w:val="24"/>
          <w:szCs w:val="24"/>
        </w:rPr>
      </w:pPr>
      <w:r w:rsidRPr="00262AC4">
        <w:rPr>
          <w:b/>
          <w:sz w:val="24"/>
          <w:szCs w:val="24"/>
        </w:rPr>
        <w:t xml:space="preserve">PRÓ-REITORIA DE PESQUISA E PÓS-GRADUAÇÃO </w:t>
      </w:r>
      <w:r>
        <w:rPr>
          <w:b/>
          <w:sz w:val="24"/>
          <w:szCs w:val="24"/>
        </w:rPr>
        <w:t>-</w:t>
      </w:r>
      <w:r w:rsidRPr="00262AC4">
        <w:rPr>
          <w:b/>
          <w:sz w:val="24"/>
          <w:szCs w:val="24"/>
        </w:rPr>
        <w:t xml:space="preserve"> PRPPG</w:t>
      </w:r>
    </w:p>
    <w:p w14:paraId="284198D8" w14:textId="77777777" w:rsidR="00262AC4" w:rsidRDefault="00262AC4" w:rsidP="006A2C5F">
      <w:pPr>
        <w:jc w:val="center"/>
        <w:rPr>
          <w:b/>
          <w:sz w:val="24"/>
          <w:szCs w:val="24"/>
        </w:rPr>
      </w:pPr>
      <w:r w:rsidRPr="00262AC4">
        <w:rPr>
          <w:b/>
          <w:sz w:val="24"/>
          <w:szCs w:val="24"/>
        </w:rPr>
        <w:t>DIRETORIA DE PESQUISA</w:t>
      </w:r>
    </w:p>
    <w:p w14:paraId="77916C55" w14:textId="77777777" w:rsidR="00F50D0B" w:rsidRPr="00262AC4" w:rsidRDefault="00F50D0B" w:rsidP="006A2C5F">
      <w:pPr>
        <w:jc w:val="center"/>
        <w:rPr>
          <w:b/>
          <w:sz w:val="24"/>
          <w:szCs w:val="24"/>
        </w:rPr>
      </w:pPr>
      <w:r w:rsidRPr="004E1F95">
        <w:rPr>
          <w:b/>
          <w:sz w:val="24"/>
          <w:szCs w:val="24"/>
        </w:rPr>
        <w:t>DIVISÃO DE INICIAÇÃO CIENTÍFICA</w:t>
      </w:r>
      <w:r>
        <w:rPr>
          <w:b/>
          <w:sz w:val="24"/>
          <w:szCs w:val="24"/>
        </w:rPr>
        <w:t xml:space="preserve"> </w:t>
      </w:r>
    </w:p>
    <w:p w14:paraId="20F5FF3A" w14:textId="77777777" w:rsidR="00262AC4" w:rsidRPr="00262AC4" w:rsidRDefault="00262AC4" w:rsidP="006A2C5F">
      <w:pPr>
        <w:jc w:val="center"/>
        <w:rPr>
          <w:b/>
          <w:sz w:val="22"/>
          <w:szCs w:val="22"/>
        </w:rPr>
      </w:pPr>
    </w:p>
    <w:p w14:paraId="184D21C6" w14:textId="77777777" w:rsidR="00262AC4" w:rsidRPr="00262AC4" w:rsidRDefault="00262AC4" w:rsidP="006A2C5F">
      <w:pPr>
        <w:jc w:val="center"/>
        <w:rPr>
          <w:b/>
          <w:sz w:val="22"/>
          <w:szCs w:val="22"/>
        </w:rPr>
      </w:pPr>
      <w:r w:rsidRPr="00262AC4">
        <w:rPr>
          <w:b/>
          <w:sz w:val="22"/>
          <w:szCs w:val="22"/>
        </w:rPr>
        <w:t>PROGRAMAS DE INICIAÇÃO CIENTÍFICA E INICIAÇÃO EM DESENVOLVIMENTO TECNOLÓGICO E INOVAÇÃO 202</w:t>
      </w:r>
      <w:r w:rsidR="00614A01">
        <w:rPr>
          <w:b/>
          <w:sz w:val="22"/>
          <w:szCs w:val="22"/>
        </w:rPr>
        <w:t>1</w:t>
      </w:r>
      <w:r w:rsidRPr="00262AC4">
        <w:rPr>
          <w:b/>
          <w:sz w:val="22"/>
          <w:szCs w:val="22"/>
        </w:rPr>
        <w:t>-202</w:t>
      </w:r>
      <w:r w:rsidR="00614A01">
        <w:rPr>
          <w:b/>
          <w:sz w:val="22"/>
          <w:szCs w:val="22"/>
        </w:rPr>
        <w:t>2</w:t>
      </w:r>
    </w:p>
    <w:p w14:paraId="62156A44" w14:textId="77777777" w:rsidR="00262AC4" w:rsidRPr="00262AC4" w:rsidRDefault="00262AC4" w:rsidP="006A2C5F">
      <w:pPr>
        <w:spacing w:line="360" w:lineRule="auto"/>
        <w:rPr>
          <w:rFonts w:ascii="Calibri" w:hAnsi="Calibri" w:cs="Arial"/>
          <w:bCs/>
          <w:i/>
          <w:iCs/>
          <w:sz w:val="24"/>
          <w:szCs w:val="24"/>
        </w:rPr>
      </w:pPr>
    </w:p>
    <w:p w14:paraId="5CA73F24" w14:textId="72427930" w:rsidR="00262AC4" w:rsidRDefault="005966AB" w:rsidP="006A2C5F">
      <w:pPr>
        <w:jc w:val="center"/>
        <w:rPr>
          <w:b/>
          <w:sz w:val="24"/>
          <w:szCs w:val="24"/>
        </w:rPr>
      </w:pPr>
      <w:r w:rsidRPr="00EC5AB5">
        <w:rPr>
          <w:b/>
          <w:sz w:val="24"/>
          <w:szCs w:val="24"/>
        </w:rPr>
        <w:t>ESTUDO SOCIOECONÔMICO COMPARATIVO ENTRE OS MUNICÍPIOS DE ARARUNA-PR, ENGENHEIRO BELTRÃO-PR E TERRA BOA-PR.</w:t>
      </w:r>
    </w:p>
    <w:p w14:paraId="7B300C1D" w14:textId="77777777" w:rsidR="005966AB" w:rsidRDefault="005966AB" w:rsidP="006A2C5F">
      <w:pPr>
        <w:jc w:val="center"/>
        <w:rPr>
          <w:b/>
          <w:bCs/>
          <w:sz w:val="24"/>
          <w:szCs w:val="24"/>
        </w:rPr>
      </w:pPr>
    </w:p>
    <w:p w14:paraId="754232D3" w14:textId="6CF808FC" w:rsidR="00EF571C" w:rsidRDefault="00EF571C" w:rsidP="00EF571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Kethllen</w:t>
      </w:r>
      <w:proofErr w:type="spellEnd"/>
      <w:r>
        <w:rPr>
          <w:sz w:val="24"/>
          <w:szCs w:val="24"/>
        </w:rPr>
        <w:t xml:space="preserve"> Prado </w:t>
      </w:r>
      <w:proofErr w:type="spellStart"/>
      <w:r>
        <w:rPr>
          <w:sz w:val="24"/>
          <w:szCs w:val="24"/>
        </w:rPr>
        <w:t>Gottsfritz</w:t>
      </w:r>
      <w:proofErr w:type="spellEnd"/>
      <w:r>
        <w:rPr>
          <w:sz w:val="24"/>
          <w:szCs w:val="24"/>
        </w:rPr>
        <w:t xml:space="preserve"> Rodrigues</w:t>
      </w:r>
    </w:p>
    <w:p w14:paraId="07A4BAC6" w14:textId="69C4438A" w:rsidR="00EF571C" w:rsidRDefault="00EF571C" w:rsidP="00EF571C">
      <w:pPr>
        <w:jc w:val="right"/>
        <w:rPr>
          <w:sz w:val="24"/>
          <w:szCs w:val="24"/>
        </w:rPr>
      </w:pPr>
      <w:r>
        <w:rPr>
          <w:sz w:val="24"/>
          <w:szCs w:val="24"/>
        </w:rPr>
        <w:t>UNESPAR/</w:t>
      </w:r>
      <w:r w:rsidRPr="009938B5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Campo Mourão, </w:t>
      </w:r>
      <w:hyperlink r:id="rId8" w:history="1">
        <w:r w:rsidRPr="001658FC">
          <w:rPr>
            <w:rStyle w:val="Hyperlink"/>
            <w:sz w:val="24"/>
            <w:szCs w:val="24"/>
          </w:rPr>
          <w:t>kethllen.gottsfritz@gmail.com</w:t>
        </w:r>
      </w:hyperlink>
    </w:p>
    <w:p w14:paraId="25320C40" w14:textId="77777777" w:rsidR="00EF571C" w:rsidRDefault="00EF571C" w:rsidP="00EF571C">
      <w:pPr>
        <w:jc w:val="right"/>
        <w:rPr>
          <w:sz w:val="24"/>
          <w:szCs w:val="24"/>
        </w:rPr>
      </w:pPr>
      <w:r w:rsidRPr="009938B5">
        <w:rPr>
          <w:sz w:val="24"/>
          <w:szCs w:val="24"/>
        </w:rPr>
        <w:t xml:space="preserve">Sérgio Luiz </w:t>
      </w:r>
      <w:proofErr w:type="spellStart"/>
      <w:r w:rsidRPr="009938B5">
        <w:rPr>
          <w:sz w:val="24"/>
          <w:szCs w:val="24"/>
        </w:rPr>
        <w:t>Maybuk</w:t>
      </w:r>
      <w:proofErr w:type="spellEnd"/>
      <w:r w:rsidRPr="009938B5">
        <w:rPr>
          <w:sz w:val="24"/>
          <w:szCs w:val="24"/>
        </w:rPr>
        <w:t xml:space="preserve"> </w:t>
      </w:r>
    </w:p>
    <w:p w14:paraId="76BBB280" w14:textId="0C0CC3A7" w:rsidR="00BF7320" w:rsidRDefault="00EF571C" w:rsidP="00EF571C">
      <w:pPr>
        <w:jc w:val="right"/>
        <w:rPr>
          <w:rStyle w:val="Hyperlink"/>
          <w:sz w:val="24"/>
          <w:szCs w:val="24"/>
        </w:rPr>
      </w:pPr>
      <w:r w:rsidRPr="009938B5">
        <w:rPr>
          <w:sz w:val="24"/>
          <w:szCs w:val="24"/>
        </w:rPr>
        <w:t xml:space="preserve">UNESPAR/Campus Campo Mourão, </w:t>
      </w:r>
      <w:hyperlink r:id="rId9" w:history="1">
        <w:r w:rsidRPr="00B62AB2">
          <w:rPr>
            <w:rStyle w:val="Hyperlink"/>
            <w:sz w:val="24"/>
            <w:szCs w:val="24"/>
          </w:rPr>
          <w:t>sergio.maybuk@unespar.edu.br</w:t>
        </w:r>
      </w:hyperlink>
    </w:p>
    <w:p w14:paraId="7A70CFCB" w14:textId="4B31240D" w:rsidR="00F83F4D" w:rsidRDefault="00F83F4D" w:rsidP="00EF571C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F83F4D">
        <w:rPr>
          <w:rStyle w:val="Hyperlink"/>
          <w:color w:val="auto"/>
          <w:sz w:val="24"/>
          <w:szCs w:val="24"/>
          <w:u w:val="none"/>
        </w:rPr>
        <w:t>Grupo de Pesquisa GERA</w:t>
      </w:r>
    </w:p>
    <w:p w14:paraId="49A4D0C8" w14:textId="77777777" w:rsidR="004239E2" w:rsidRDefault="004239E2" w:rsidP="004239E2">
      <w:pPr>
        <w:jc w:val="right"/>
        <w:rPr>
          <w:sz w:val="24"/>
          <w:szCs w:val="24"/>
        </w:rPr>
      </w:pPr>
      <w:r>
        <w:rPr>
          <w:sz w:val="22"/>
          <w:szCs w:val="22"/>
        </w:rPr>
        <w:t>Rosinaldo Nunes Cardoso</w:t>
      </w:r>
      <w:r>
        <w:rPr>
          <w:sz w:val="24"/>
          <w:szCs w:val="24"/>
        </w:rPr>
        <w:t xml:space="preserve"> </w:t>
      </w:r>
    </w:p>
    <w:p w14:paraId="52EA54B5" w14:textId="77777777" w:rsidR="004239E2" w:rsidRDefault="004239E2" w:rsidP="004239E2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Faculdade </w:t>
      </w:r>
      <w:proofErr w:type="spellStart"/>
      <w:r>
        <w:rPr>
          <w:sz w:val="24"/>
          <w:szCs w:val="24"/>
        </w:rPr>
        <w:t>Unicampo</w:t>
      </w:r>
      <w:proofErr w:type="spellEnd"/>
      <w:r>
        <w:rPr>
          <w:sz w:val="24"/>
          <w:szCs w:val="24"/>
        </w:rPr>
        <w:t xml:space="preserve">/Campo Mourão, </w:t>
      </w:r>
      <w:hyperlink r:id="rId10" w:history="1">
        <w:r w:rsidRPr="001A5996">
          <w:rPr>
            <w:rStyle w:val="Hyperlink"/>
            <w:rFonts w:ascii="Arial" w:hAnsi="Arial" w:cs="Arial"/>
            <w:shd w:val="clear" w:color="auto" w:fill="FFFFFF"/>
          </w:rPr>
          <w:t>rosinaldo_cardoso@hotmail.com</w:t>
        </w:r>
      </w:hyperlink>
    </w:p>
    <w:p w14:paraId="02C08B9C" w14:textId="77777777" w:rsidR="004239E2" w:rsidRDefault="004239E2" w:rsidP="004239E2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E140B7">
        <w:rPr>
          <w:rStyle w:val="Hyperlink"/>
          <w:color w:val="auto"/>
          <w:sz w:val="24"/>
          <w:szCs w:val="24"/>
          <w:u w:val="none"/>
        </w:rPr>
        <w:t>Grupo de Pesquisa GERA</w:t>
      </w:r>
    </w:p>
    <w:p w14:paraId="2724CBA2" w14:textId="77777777" w:rsidR="004239E2" w:rsidRPr="00F83F4D" w:rsidRDefault="004239E2" w:rsidP="00EF571C">
      <w:pPr>
        <w:jc w:val="right"/>
        <w:rPr>
          <w:sz w:val="24"/>
          <w:szCs w:val="24"/>
        </w:rPr>
      </w:pPr>
    </w:p>
    <w:p w14:paraId="19BBD748" w14:textId="77777777" w:rsidR="00455CB0" w:rsidRPr="00306FF7" w:rsidRDefault="00455CB0" w:rsidP="006A2C5F">
      <w:pPr>
        <w:pStyle w:val="Corpodetexto"/>
        <w:outlineLvl w:val="0"/>
        <w:rPr>
          <w:i/>
        </w:rPr>
      </w:pPr>
    </w:p>
    <w:p w14:paraId="08EDD78A" w14:textId="77777777" w:rsidR="00455CB0" w:rsidRPr="00306FF7" w:rsidRDefault="00455CB0" w:rsidP="006A2C5F">
      <w:pPr>
        <w:pStyle w:val="Corpodetexto"/>
        <w:outlineLvl w:val="0"/>
        <w:rPr>
          <w:b/>
        </w:rPr>
      </w:pPr>
      <w:bookmarkStart w:id="0" w:name="_Hlk105493750"/>
    </w:p>
    <w:bookmarkEnd w:id="0"/>
    <w:p w14:paraId="3B8AE8EF" w14:textId="29838B21" w:rsidR="00BF7320" w:rsidRPr="00662EEB" w:rsidRDefault="00BF7320" w:rsidP="00D0203D">
      <w:pPr>
        <w:spacing w:line="360" w:lineRule="auto"/>
        <w:jc w:val="both"/>
        <w:rPr>
          <w:color w:val="FF0000"/>
          <w:sz w:val="24"/>
          <w:szCs w:val="24"/>
        </w:rPr>
      </w:pPr>
      <w:r w:rsidRPr="00662EEB">
        <w:rPr>
          <w:b/>
          <w:sz w:val="24"/>
          <w:szCs w:val="24"/>
        </w:rPr>
        <w:t>INTRODUÇÃO</w:t>
      </w:r>
      <w:r w:rsidRPr="00662EEB">
        <w:rPr>
          <w:b/>
          <w:color w:val="FF0000"/>
          <w:sz w:val="24"/>
          <w:szCs w:val="24"/>
        </w:rPr>
        <w:t xml:space="preserve"> </w:t>
      </w:r>
    </w:p>
    <w:p w14:paraId="5B16FA14" w14:textId="77777777" w:rsidR="00AA1C41" w:rsidRPr="00662EEB" w:rsidRDefault="00AA1C41" w:rsidP="00D0203D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p w14:paraId="1AFE1455" w14:textId="70EA8E81" w:rsidR="00662EEB" w:rsidRDefault="00662EEB" w:rsidP="00662EEB">
      <w:pPr>
        <w:widowControl w:val="0"/>
        <w:suppressAutoHyphens/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O presente artigo de alguma forma traz uma contribuição científica para ajudar na reflexão</w:t>
      </w:r>
      <w:r w:rsidR="0011061B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C7E6E">
        <w:rPr>
          <w:sz w:val="24"/>
          <w:szCs w:val="24"/>
        </w:rPr>
        <w:t>justifica-se por tratar de</w:t>
      </w:r>
      <w:r>
        <w:rPr>
          <w:sz w:val="24"/>
          <w:szCs w:val="24"/>
        </w:rPr>
        <w:t xml:space="preserve"> um</w:t>
      </w:r>
      <w:r w:rsidRPr="004C7E6E">
        <w:rPr>
          <w:sz w:val="24"/>
          <w:szCs w:val="24"/>
        </w:rPr>
        <w:t xml:space="preserve"> tema relevante</w:t>
      </w:r>
      <w:r>
        <w:rPr>
          <w:sz w:val="24"/>
          <w:szCs w:val="24"/>
        </w:rPr>
        <w:t xml:space="preserve">, que servirá para outras análises de </w:t>
      </w:r>
      <w:r w:rsidR="004637C2">
        <w:rPr>
          <w:sz w:val="24"/>
          <w:szCs w:val="24"/>
        </w:rPr>
        <w:t xml:space="preserve">tantos </w:t>
      </w:r>
      <w:r>
        <w:rPr>
          <w:sz w:val="24"/>
          <w:szCs w:val="24"/>
        </w:rPr>
        <w:t xml:space="preserve">  municípios</w:t>
      </w:r>
      <w:r w:rsidR="004637C2">
        <w:rPr>
          <w:sz w:val="24"/>
          <w:szCs w:val="24"/>
        </w:rPr>
        <w:t xml:space="preserve"> que </w:t>
      </w:r>
      <w:r>
        <w:rPr>
          <w:sz w:val="24"/>
          <w:szCs w:val="24"/>
        </w:rPr>
        <w:t>se queira escolher. Certamente haverá muitas similaridades mas também diferenças</w:t>
      </w:r>
      <w:r w:rsidR="000D7B85">
        <w:rPr>
          <w:sz w:val="24"/>
          <w:szCs w:val="24"/>
        </w:rPr>
        <w:t>,</w:t>
      </w:r>
      <w:r>
        <w:rPr>
          <w:sz w:val="24"/>
          <w:szCs w:val="24"/>
        </w:rPr>
        <w:t xml:space="preserve"> que tornam alguns municípios melhores ou piores que outros e talvez com arrecadações</w:t>
      </w:r>
      <w:r w:rsidR="000D7B85">
        <w:rPr>
          <w:sz w:val="24"/>
          <w:szCs w:val="24"/>
        </w:rPr>
        <w:t xml:space="preserve"> de recursos</w:t>
      </w:r>
      <w:r>
        <w:rPr>
          <w:sz w:val="24"/>
          <w:szCs w:val="24"/>
        </w:rPr>
        <w:t xml:space="preserve"> semelhantes.</w:t>
      </w:r>
    </w:p>
    <w:p w14:paraId="205ECE48" w14:textId="706FAB78" w:rsidR="00662EEB" w:rsidRDefault="00662EEB" w:rsidP="00662EEB">
      <w:pPr>
        <w:widowControl w:val="0"/>
        <w:suppressAutoHyphens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pesquisado aqui, haverá a busca de algumas variáveis que se constituem na </w:t>
      </w:r>
      <w:r w:rsidRPr="004C7E6E">
        <w:rPr>
          <w:sz w:val="24"/>
          <w:szCs w:val="24"/>
        </w:rPr>
        <w:t xml:space="preserve">identificação de dados socioeconômicos </w:t>
      </w:r>
      <w:r w:rsidRPr="00EC5AB5">
        <w:rPr>
          <w:sz w:val="24"/>
          <w:szCs w:val="24"/>
        </w:rPr>
        <w:t>de três municípios</w:t>
      </w:r>
      <w:r>
        <w:rPr>
          <w:sz w:val="24"/>
          <w:szCs w:val="24"/>
        </w:rPr>
        <w:t>, a serem avaliados em alguns aspectos d</w:t>
      </w:r>
      <w:r w:rsidR="00642AB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4C7E6E">
        <w:rPr>
          <w:sz w:val="24"/>
          <w:szCs w:val="24"/>
        </w:rPr>
        <w:t>gest</w:t>
      </w:r>
      <w:r>
        <w:rPr>
          <w:sz w:val="24"/>
          <w:szCs w:val="24"/>
        </w:rPr>
        <w:t>ão</w:t>
      </w:r>
      <w:r w:rsidRPr="004C7E6E">
        <w:rPr>
          <w:sz w:val="24"/>
          <w:szCs w:val="24"/>
        </w:rPr>
        <w:t xml:space="preserve"> ambient</w:t>
      </w:r>
      <w:r>
        <w:rPr>
          <w:sz w:val="24"/>
          <w:szCs w:val="24"/>
        </w:rPr>
        <w:t>al em termos quantitativos e alguma percepção qualitativa, para saber se há alguma efetividade ou não da mesma, que na maioria das vezes têm relação direta com dados encontrados.</w:t>
      </w:r>
      <w:r w:rsidR="00642ABC">
        <w:rPr>
          <w:sz w:val="24"/>
          <w:szCs w:val="24"/>
        </w:rPr>
        <w:t xml:space="preserve"> E</w:t>
      </w:r>
      <w:r w:rsidR="00F64FFA">
        <w:rPr>
          <w:sz w:val="24"/>
          <w:szCs w:val="24"/>
        </w:rPr>
        <w:t xml:space="preserve"> especialmente outros</w:t>
      </w:r>
      <w:r w:rsidR="00642ABC">
        <w:rPr>
          <w:sz w:val="24"/>
          <w:szCs w:val="24"/>
        </w:rPr>
        <w:t xml:space="preserve"> importantes indicadores socioeconômicos. </w:t>
      </w:r>
      <w:r>
        <w:rPr>
          <w:sz w:val="24"/>
          <w:szCs w:val="24"/>
        </w:rPr>
        <w:t xml:space="preserve"> </w:t>
      </w:r>
    </w:p>
    <w:p w14:paraId="701C6BFB" w14:textId="4B0F4A50" w:rsidR="00662EEB" w:rsidRDefault="00662EEB" w:rsidP="00662EEB">
      <w:pPr>
        <w:widowControl w:val="0"/>
        <w:suppressAutoHyphens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É interessante destacar que a qualidade dos indicadores socioeconômicos de um município</w:t>
      </w:r>
      <w:r w:rsidR="008C51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50763">
        <w:rPr>
          <w:sz w:val="24"/>
          <w:szCs w:val="24"/>
        </w:rPr>
        <w:t>numa analogia</w:t>
      </w:r>
      <w:r>
        <w:rPr>
          <w:sz w:val="24"/>
          <w:szCs w:val="24"/>
        </w:rPr>
        <w:t xml:space="preserve">, é tão importante quanto bons índices de saúde nos exames laboratoriais de uma pessoa ou ainda dados equilibrados de um balanço contábil de uma empresa. </w:t>
      </w:r>
    </w:p>
    <w:p w14:paraId="0D67757F" w14:textId="1B0E5A75" w:rsidR="00662EEB" w:rsidRPr="00A50AD0" w:rsidRDefault="00662EEB" w:rsidP="00662EEB">
      <w:pPr>
        <w:widowControl w:val="0"/>
        <w:suppressAutoHyphens/>
        <w:spacing w:line="360" w:lineRule="auto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Na busca do desenvolvimento econômico de um país,</w:t>
      </w:r>
      <w:r w:rsidR="00EE6F32">
        <w:rPr>
          <w:sz w:val="24"/>
          <w:szCs w:val="24"/>
        </w:rPr>
        <w:t xml:space="preserve"> Estado ou município,</w:t>
      </w:r>
      <w:r>
        <w:rPr>
          <w:sz w:val="24"/>
          <w:szCs w:val="24"/>
        </w:rPr>
        <w:t xml:space="preserve"> espera-se uma boa soma de indicadores econômicos e sociais de boa qualidade, que propiciem uma qualidade de vida no mínimo razoável para a maioria absoluta da população. Portanto, sempre </w:t>
      </w:r>
      <w:r>
        <w:rPr>
          <w:sz w:val="24"/>
          <w:szCs w:val="24"/>
        </w:rPr>
        <w:lastRenderedPageBreak/>
        <w:t>que possível, cada indicador deve ser analisado cientificamente nesse sentido</w:t>
      </w:r>
      <w:r w:rsidR="0060639C">
        <w:rPr>
          <w:sz w:val="24"/>
          <w:szCs w:val="24"/>
        </w:rPr>
        <w:t xml:space="preserve"> e tentar melhorá-lo se necessário.</w:t>
      </w:r>
      <w:r>
        <w:rPr>
          <w:sz w:val="24"/>
          <w:szCs w:val="24"/>
        </w:rPr>
        <w:t xml:space="preserve">    </w:t>
      </w:r>
    </w:p>
    <w:p w14:paraId="55133F9C" w14:textId="37F9C21F" w:rsidR="00662EEB" w:rsidRPr="003D4652" w:rsidRDefault="00662EEB" w:rsidP="00662EEB">
      <w:pPr>
        <w:spacing w:line="360" w:lineRule="auto"/>
        <w:ind w:left="-6" w:firstLine="714"/>
        <w:jc w:val="both"/>
        <w:rPr>
          <w:sz w:val="24"/>
          <w:szCs w:val="24"/>
        </w:rPr>
      </w:pPr>
      <w:r w:rsidRPr="003D4652">
        <w:rPr>
          <w:sz w:val="24"/>
          <w:szCs w:val="24"/>
        </w:rPr>
        <w:t xml:space="preserve">Para a contribuição </w:t>
      </w:r>
      <w:r>
        <w:rPr>
          <w:sz w:val="24"/>
          <w:szCs w:val="24"/>
        </w:rPr>
        <w:t>dos/as próprios pesquisadores/as</w:t>
      </w:r>
      <w:r w:rsidRPr="003D4652">
        <w:rPr>
          <w:sz w:val="24"/>
          <w:szCs w:val="24"/>
        </w:rPr>
        <w:t xml:space="preserve"> justifica-se </w:t>
      </w:r>
      <w:r>
        <w:rPr>
          <w:sz w:val="24"/>
          <w:szCs w:val="24"/>
        </w:rPr>
        <w:t>o trabalho executado, pois</w:t>
      </w:r>
      <w:r w:rsidRPr="003D4652">
        <w:rPr>
          <w:sz w:val="24"/>
          <w:szCs w:val="24"/>
        </w:rPr>
        <w:t xml:space="preserve"> analisar os números importantes de todos os municípios envolvidos na pesquisa, t</w:t>
      </w:r>
      <w:r w:rsidR="001F2FD8">
        <w:rPr>
          <w:sz w:val="24"/>
          <w:szCs w:val="24"/>
        </w:rPr>
        <w:t>rouxe</w:t>
      </w:r>
      <w:r w:rsidRPr="003D4652">
        <w:rPr>
          <w:sz w:val="24"/>
          <w:szCs w:val="24"/>
        </w:rPr>
        <w:t xml:space="preserve"> um novo olhar para analisar </w:t>
      </w:r>
      <w:r>
        <w:rPr>
          <w:sz w:val="24"/>
          <w:szCs w:val="24"/>
        </w:rPr>
        <w:t xml:space="preserve">cada novo </w:t>
      </w:r>
      <w:r w:rsidRPr="003D4652">
        <w:rPr>
          <w:sz w:val="24"/>
          <w:szCs w:val="24"/>
        </w:rPr>
        <w:t>município</w:t>
      </w:r>
      <w:r>
        <w:rPr>
          <w:sz w:val="24"/>
          <w:szCs w:val="24"/>
        </w:rPr>
        <w:t xml:space="preserve"> observado</w:t>
      </w:r>
      <w:r w:rsidRPr="003D4652">
        <w:rPr>
          <w:sz w:val="24"/>
          <w:szCs w:val="24"/>
        </w:rPr>
        <w:t xml:space="preserve">, pois as questões quase sempre são semelhantes. </w:t>
      </w:r>
    </w:p>
    <w:p w14:paraId="5E7C1F88" w14:textId="25FC1B45" w:rsidR="00662EEB" w:rsidRPr="00F66E9C" w:rsidRDefault="00662EEB" w:rsidP="00662EEB">
      <w:pPr>
        <w:spacing w:line="360" w:lineRule="auto"/>
        <w:ind w:left="-6" w:firstLine="714"/>
        <w:jc w:val="both"/>
        <w:rPr>
          <w:sz w:val="24"/>
          <w:szCs w:val="24"/>
        </w:rPr>
      </w:pPr>
      <w:r w:rsidRPr="00F66E9C">
        <w:rPr>
          <w:sz w:val="24"/>
          <w:szCs w:val="24"/>
        </w:rPr>
        <w:t xml:space="preserve">Justifica-se também </w:t>
      </w:r>
      <w:r>
        <w:rPr>
          <w:sz w:val="24"/>
          <w:szCs w:val="24"/>
        </w:rPr>
        <w:t xml:space="preserve">para </w:t>
      </w:r>
      <w:r w:rsidRPr="00F66E9C">
        <w:rPr>
          <w:sz w:val="24"/>
          <w:szCs w:val="24"/>
        </w:rPr>
        <w:t>a sociedade em geral</w:t>
      </w:r>
      <w:r w:rsidR="00365602">
        <w:rPr>
          <w:sz w:val="24"/>
          <w:szCs w:val="24"/>
        </w:rPr>
        <w:t>,</w:t>
      </w:r>
      <w:r w:rsidRPr="00F66E9C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F66E9C">
        <w:rPr>
          <w:sz w:val="24"/>
          <w:szCs w:val="24"/>
        </w:rPr>
        <w:t xml:space="preserve"> veja a realidade de seus municípios com dados concretos que sem a pesquisa não poderia perceber. Assim</w:t>
      </w:r>
      <w:r w:rsidR="008D2F95">
        <w:rPr>
          <w:sz w:val="24"/>
          <w:szCs w:val="24"/>
        </w:rPr>
        <w:t xml:space="preserve"> tais habitantes</w:t>
      </w:r>
      <w:r w:rsidRPr="00F66E9C">
        <w:rPr>
          <w:sz w:val="24"/>
          <w:szCs w:val="24"/>
        </w:rPr>
        <w:t xml:space="preserve"> poderão ajudar a conservar o que há de bom e cobrar das autoridades o que precisa ser melhorado. E para gestores, pode ser fundamental para execução de políticas sociais mais efetivas.   </w:t>
      </w:r>
    </w:p>
    <w:p w14:paraId="5AD298C5" w14:textId="1433B37C" w:rsidR="00662EEB" w:rsidRDefault="00662EEB" w:rsidP="00662EEB">
      <w:pPr>
        <w:spacing w:line="360" w:lineRule="auto"/>
        <w:ind w:left="-5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F66E9C">
        <w:rPr>
          <w:sz w:val="24"/>
          <w:szCs w:val="24"/>
        </w:rPr>
        <w:t>Considerando a problematização abordada na</w:t>
      </w:r>
      <w:r>
        <w:rPr>
          <w:sz w:val="24"/>
          <w:szCs w:val="24"/>
        </w:rPr>
        <w:t>s palavras introdutórias</w:t>
      </w:r>
      <w:r w:rsidRPr="00F66E9C">
        <w:rPr>
          <w:sz w:val="24"/>
          <w:szCs w:val="24"/>
        </w:rPr>
        <w:t xml:space="preserve">, chega-se a pergunta de pesquisa para o referido trabalho sendo Quais as diferenças fundamentais entre os indicadores </w:t>
      </w:r>
      <w:r w:rsidRPr="00980B72">
        <w:rPr>
          <w:sz w:val="24"/>
          <w:szCs w:val="24"/>
        </w:rPr>
        <w:t>socioeconômicos nos municípios</w:t>
      </w:r>
      <w:r w:rsidR="00BD2005">
        <w:rPr>
          <w:sz w:val="24"/>
          <w:szCs w:val="24"/>
        </w:rPr>
        <w:t xml:space="preserve"> paranaenses</w:t>
      </w:r>
      <w:r w:rsidRPr="00980B72">
        <w:rPr>
          <w:sz w:val="24"/>
          <w:szCs w:val="24"/>
        </w:rPr>
        <w:t xml:space="preserve"> </w:t>
      </w:r>
      <w:r w:rsidRPr="00980B72">
        <w:rPr>
          <w:rStyle w:val="apple-style-span"/>
          <w:sz w:val="24"/>
          <w:szCs w:val="24"/>
        </w:rPr>
        <w:t>Araruna-</w:t>
      </w:r>
      <w:proofErr w:type="spellStart"/>
      <w:r w:rsidRPr="00980B72">
        <w:rPr>
          <w:rStyle w:val="apple-style-span"/>
          <w:sz w:val="24"/>
          <w:szCs w:val="24"/>
        </w:rPr>
        <w:t>Pr</w:t>
      </w:r>
      <w:proofErr w:type="spellEnd"/>
      <w:r w:rsidRPr="00980B72">
        <w:rPr>
          <w:rStyle w:val="apple-style-span"/>
          <w:sz w:val="24"/>
          <w:szCs w:val="24"/>
        </w:rPr>
        <w:t>, Engenheiro Beltrão-</w:t>
      </w:r>
      <w:proofErr w:type="spellStart"/>
      <w:r w:rsidRPr="00980B72">
        <w:rPr>
          <w:rStyle w:val="apple-style-span"/>
          <w:sz w:val="24"/>
          <w:szCs w:val="24"/>
        </w:rPr>
        <w:t>Pr</w:t>
      </w:r>
      <w:proofErr w:type="spellEnd"/>
      <w:r w:rsidRPr="00980B72">
        <w:rPr>
          <w:rStyle w:val="apple-style-span"/>
          <w:sz w:val="24"/>
          <w:szCs w:val="24"/>
        </w:rPr>
        <w:t xml:space="preserve"> e Terra Boa-Pr</w:t>
      </w:r>
      <w:r w:rsidRPr="00980B72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5C3B9AC7" w14:textId="30BE4467" w:rsidR="00662EEB" w:rsidRPr="00980B72" w:rsidRDefault="00662EEB" w:rsidP="00662EEB">
      <w:pPr>
        <w:spacing w:line="360" w:lineRule="auto"/>
        <w:ind w:left="-5" w:firstLine="713"/>
        <w:jc w:val="both"/>
        <w:rPr>
          <w:rFonts w:eastAsia="Calibri"/>
          <w:bCs/>
          <w:sz w:val="24"/>
          <w:szCs w:val="24"/>
          <w:lang w:eastAsia="en-US"/>
        </w:rPr>
      </w:pPr>
      <w:r w:rsidRPr="00980B72">
        <w:rPr>
          <w:sz w:val="24"/>
          <w:szCs w:val="24"/>
        </w:rPr>
        <w:t xml:space="preserve">Para </w:t>
      </w:r>
      <w:r>
        <w:rPr>
          <w:sz w:val="24"/>
          <w:szCs w:val="24"/>
        </w:rPr>
        <w:t>a busca das respostas</w:t>
      </w:r>
      <w:r w:rsidRPr="00980B72">
        <w:rPr>
          <w:sz w:val="24"/>
          <w:szCs w:val="24"/>
        </w:rPr>
        <w:t xml:space="preserve"> a essa pergunta definiu-se o Objetivo Geral:  Investigar quais as diferenças fundamentais entre os indicadores socioeconômicos nos municípios </w:t>
      </w:r>
      <w:r w:rsidRPr="00980B72">
        <w:rPr>
          <w:rStyle w:val="apple-style-span"/>
          <w:sz w:val="24"/>
          <w:szCs w:val="24"/>
        </w:rPr>
        <w:t>Araruna-</w:t>
      </w:r>
      <w:proofErr w:type="spellStart"/>
      <w:r w:rsidRPr="00980B72">
        <w:rPr>
          <w:rStyle w:val="apple-style-span"/>
          <w:sz w:val="24"/>
          <w:szCs w:val="24"/>
        </w:rPr>
        <w:t>Pr</w:t>
      </w:r>
      <w:proofErr w:type="spellEnd"/>
      <w:r w:rsidRPr="00980B72">
        <w:rPr>
          <w:rStyle w:val="apple-style-span"/>
          <w:sz w:val="24"/>
          <w:szCs w:val="24"/>
        </w:rPr>
        <w:t>, Engenheiro Beltrão-</w:t>
      </w:r>
      <w:proofErr w:type="spellStart"/>
      <w:r w:rsidRPr="00980B72">
        <w:rPr>
          <w:rStyle w:val="apple-style-span"/>
          <w:sz w:val="24"/>
          <w:szCs w:val="24"/>
        </w:rPr>
        <w:t>Pr</w:t>
      </w:r>
      <w:proofErr w:type="spellEnd"/>
      <w:r w:rsidRPr="00980B72">
        <w:rPr>
          <w:rStyle w:val="apple-style-span"/>
          <w:sz w:val="24"/>
          <w:szCs w:val="24"/>
        </w:rPr>
        <w:t xml:space="preserve"> e Terra Boa-Pr</w:t>
      </w:r>
      <w:bookmarkStart w:id="1" w:name="_GoBack"/>
      <w:bookmarkEnd w:id="1"/>
      <w:r w:rsidRPr="00980B72">
        <w:rPr>
          <w:rStyle w:val="apple-style-span"/>
          <w:sz w:val="24"/>
          <w:szCs w:val="24"/>
        </w:rPr>
        <w:t>.</w:t>
      </w:r>
    </w:p>
    <w:p w14:paraId="75AD9CA1" w14:textId="6E24F4B2" w:rsidR="00662EEB" w:rsidRDefault="00662EEB" w:rsidP="00662EEB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8832C8">
        <w:rPr>
          <w:sz w:val="24"/>
          <w:szCs w:val="24"/>
        </w:rPr>
        <w:t xml:space="preserve">E para então atingir-se esse Objetivo Geral </w:t>
      </w:r>
      <w:r>
        <w:rPr>
          <w:sz w:val="24"/>
          <w:szCs w:val="24"/>
        </w:rPr>
        <w:t xml:space="preserve">buscou-se alguns </w:t>
      </w:r>
      <w:r w:rsidRPr="007B7041">
        <w:rPr>
          <w:sz w:val="24"/>
          <w:szCs w:val="24"/>
        </w:rPr>
        <w:t>Objetivos Específicos</w:t>
      </w:r>
      <w:r>
        <w:rPr>
          <w:sz w:val="24"/>
          <w:szCs w:val="24"/>
        </w:rPr>
        <w:t xml:space="preserve">, tais como </w:t>
      </w:r>
      <w:r w:rsidRPr="007B7041">
        <w:rPr>
          <w:sz w:val="24"/>
          <w:szCs w:val="24"/>
        </w:rPr>
        <w:t xml:space="preserve">Identificar </w:t>
      </w:r>
      <w:r>
        <w:rPr>
          <w:sz w:val="24"/>
          <w:szCs w:val="24"/>
        </w:rPr>
        <w:t>alguns</w:t>
      </w:r>
      <w:r w:rsidRPr="007B7041">
        <w:rPr>
          <w:sz w:val="24"/>
          <w:szCs w:val="24"/>
        </w:rPr>
        <w:t xml:space="preserve"> conceitos, definições e problemáticas envolvendo indicadores socioeconômicos</w:t>
      </w:r>
      <w:r>
        <w:rPr>
          <w:sz w:val="24"/>
          <w:szCs w:val="24"/>
        </w:rPr>
        <w:t xml:space="preserve"> e desenvolvimento econômico</w:t>
      </w:r>
      <w:r w:rsidRPr="007B70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43D4">
        <w:rPr>
          <w:sz w:val="24"/>
          <w:szCs w:val="24"/>
        </w:rPr>
        <w:t>Identificar e analisar os indicadores socioeconômicos do</w:t>
      </w:r>
      <w:r>
        <w:rPr>
          <w:sz w:val="24"/>
          <w:szCs w:val="24"/>
        </w:rPr>
        <w:t>s</w:t>
      </w:r>
      <w:r w:rsidRPr="005E43D4">
        <w:rPr>
          <w:sz w:val="24"/>
          <w:szCs w:val="24"/>
        </w:rPr>
        <w:t xml:space="preserve"> município</w:t>
      </w:r>
      <w:r>
        <w:rPr>
          <w:sz w:val="24"/>
          <w:szCs w:val="24"/>
        </w:rPr>
        <w:t>s</w:t>
      </w:r>
      <w:r w:rsidRPr="005E4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paranaenses </w:t>
      </w:r>
      <w:r w:rsidRPr="005E43D4">
        <w:rPr>
          <w:sz w:val="24"/>
          <w:szCs w:val="24"/>
        </w:rPr>
        <w:t>de Araruna</w:t>
      </w:r>
      <w:r>
        <w:rPr>
          <w:sz w:val="24"/>
          <w:szCs w:val="24"/>
        </w:rPr>
        <w:t>, de</w:t>
      </w:r>
      <w:r w:rsidRPr="005E43D4">
        <w:rPr>
          <w:sz w:val="24"/>
          <w:szCs w:val="24"/>
        </w:rPr>
        <w:t xml:space="preserve"> Engenheiro Beltrão e Terra Boa.</w:t>
      </w:r>
      <w:r>
        <w:rPr>
          <w:sz w:val="24"/>
          <w:szCs w:val="24"/>
        </w:rPr>
        <w:t xml:space="preserve"> E finalmente, </w:t>
      </w:r>
      <w:r w:rsidRPr="005E43D4">
        <w:rPr>
          <w:sz w:val="24"/>
          <w:szCs w:val="24"/>
        </w:rPr>
        <w:t>Comparar e analisar os indicadores socioeconômicos dos três municípios, considerando semelhanças e diferenças fundamentais, lideranças em cada indicador</w:t>
      </w:r>
      <w:r w:rsidR="006A3CEF">
        <w:rPr>
          <w:sz w:val="24"/>
          <w:szCs w:val="24"/>
        </w:rPr>
        <w:t xml:space="preserve"> e ainda comparando sempre que possível com a média do Estado do Paraná. </w:t>
      </w:r>
      <w:r w:rsidRPr="005E43D4">
        <w:rPr>
          <w:sz w:val="24"/>
          <w:szCs w:val="24"/>
        </w:rPr>
        <w:t xml:space="preserve"> </w:t>
      </w:r>
    </w:p>
    <w:p w14:paraId="205ED29D" w14:textId="5AE58270" w:rsidR="00662EEB" w:rsidRPr="005E43D4" w:rsidRDefault="00662EEB" w:rsidP="00662EEB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presente artigo além desta parte introdutória com </w:t>
      </w:r>
      <w:r w:rsidR="003C1948">
        <w:rPr>
          <w:sz w:val="24"/>
          <w:szCs w:val="24"/>
        </w:rPr>
        <w:t>J</w:t>
      </w:r>
      <w:r>
        <w:rPr>
          <w:sz w:val="24"/>
          <w:szCs w:val="24"/>
        </w:rPr>
        <w:t xml:space="preserve">ustificativa, </w:t>
      </w:r>
      <w:r w:rsidR="003C1948">
        <w:rPr>
          <w:sz w:val="24"/>
          <w:szCs w:val="24"/>
        </w:rPr>
        <w:t>P</w:t>
      </w:r>
      <w:r>
        <w:rPr>
          <w:sz w:val="24"/>
          <w:szCs w:val="24"/>
        </w:rPr>
        <w:t xml:space="preserve">roblema e </w:t>
      </w:r>
      <w:r w:rsidR="003C1948">
        <w:rPr>
          <w:sz w:val="24"/>
          <w:szCs w:val="24"/>
        </w:rPr>
        <w:t>O</w:t>
      </w:r>
      <w:r>
        <w:rPr>
          <w:sz w:val="24"/>
          <w:szCs w:val="24"/>
        </w:rPr>
        <w:t xml:space="preserve">bjetivo </w:t>
      </w:r>
      <w:r w:rsidR="003C1948">
        <w:rPr>
          <w:sz w:val="24"/>
          <w:szCs w:val="24"/>
        </w:rPr>
        <w:t>G</w:t>
      </w:r>
      <w:r>
        <w:rPr>
          <w:sz w:val="24"/>
          <w:szCs w:val="24"/>
        </w:rPr>
        <w:t xml:space="preserve">eral e </w:t>
      </w:r>
      <w:r w:rsidR="003C1948">
        <w:rPr>
          <w:sz w:val="24"/>
          <w:szCs w:val="24"/>
        </w:rPr>
        <w:t>E</w:t>
      </w:r>
      <w:r>
        <w:rPr>
          <w:sz w:val="24"/>
          <w:szCs w:val="24"/>
        </w:rPr>
        <w:t xml:space="preserve">specíficos, será composto de uma seção de Materiais e Métodos, Resultados e Discussões e as Considerações Finais. </w:t>
      </w:r>
    </w:p>
    <w:p w14:paraId="70C289E7" w14:textId="77777777" w:rsidR="00662EEB" w:rsidRDefault="00662EEB" w:rsidP="00662EEB">
      <w:pPr>
        <w:spacing w:line="360" w:lineRule="auto"/>
        <w:jc w:val="both"/>
        <w:rPr>
          <w:b/>
          <w:sz w:val="24"/>
          <w:szCs w:val="24"/>
        </w:rPr>
      </w:pPr>
    </w:p>
    <w:p w14:paraId="64261B04" w14:textId="367D4C7A" w:rsidR="00D0203D" w:rsidRPr="00662EEB" w:rsidRDefault="00BF7320" w:rsidP="00D0203D">
      <w:pPr>
        <w:spacing w:line="360" w:lineRule="auto"/>
        <w:jc w:val="both"/>
        <w:rPr>
          <w:b/>
          <w:sz w:val="24"/>
          <w:szCs w:val="24"/>
        </w:rPr>
      </w:pPr>
      <w:r w:rsidRPr="00662EEB">
        <w:rPr>
          <w:b/>
          <w:sz w:val="24"/>
          <w:szCs w:val="24"/>
        </w:rPr>
        <w:t xml:space="preserve">MATERIAIS E MÉTODOS </w:t>
      </w:r>
    </w:p>
    <w:p w14:paraId="346FDB25" w14:textId="77777777" w:rsidR="00106D02" w:rsidRDefault="00106D02" w:rsidP="00662EE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D3CBD39" w14:textId="29474F91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Antes de explicitar como foi desenvolvida a pesquisa é importante citar dois autores da área</w:t>
      </w:r>
      <w:r w:rsidR="00B45C0B">
        <w:rPr>
          <w:color w:val="000000" w:themeColor="text1"/>
          <w:sz w:val="24"/>
          <w:szCs w:val="24"/>
        </w:rPr>
        <w:t xml:space="preserve"> de metodologia</w:t>
      </w:r>
      <w:r>
        <w:rPr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>Segundo Medeiros (2014, p.39), “a pesquisa bibliográfica é passo decisivo em qualquer pesquisa científica, uma vez que elimina a possibilidade de se trabalhar em vão, de se desprender tempo com o que já foi solucionado”</w:t>
      </w:r>
      <w:r w:rsidR="00084E50">
        <w:rPr>
          <w:sz w:val="24"/>
          <w:szCs w:val="24"/>
        </w:rPr>
        <w:t>.</w:t>
      </w:r>
    </w:p>
    <w:p w14:paraId="7E34260B" w14:textId="77777777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Também </w:t>
      </w:r>
      <w:r w:rsidRPr="00255196">
        <w:rPr>
          <w:sz w:val="24"/>
          <w:szCs w:val="24"/>
        </w:rPr>
        <w:t>Gil</w:t>
      </w:r>
      <w:r>
        <w:rPr>
          <w:sz w:val="24"/>
          <w:szCs w:val="24"/>
        </w:rPr>
        <w:t xml:space="preserve"> (2002, p.3)</w:t>
      </w:r>
      <w:r w:rsidRPr="00255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expõe </w:t>
      </w:r>
      <w:r w:rsidRPr="00255196">
        <w:rPr>
          <w:sz w:val="24"/>
          <w:szCs w:val="24"/>
        </w:rPr>
        <w:t>que</w:t>
      </w:r>
      <w:r>
        <w:rPr>
          <w:sz w:val="24"/>
          <w:szCs w:val="24"/>
        </w:rPr>
        <w:t xml:space="preserve"> “</w:t>
      </w:r>
      <w:r w:rsidRPr="00B91049">
        <w:rPr>
          <w:sz w:val="24"/>
          <w:szCs w:val="24"/>
        </w:rPr>
        <w:t>[...]</w:t>
      </w:r>
      <w:r w:rsidRPr="00255196">
        <w:rPr>
          <w:sz w:val="24"/>
          <w:szCs w:val="24"/>
        </w:rPr>
        <w:t>a principal vantagem da pesquisa bibliográfica reside no fato de permitir ao investigador a cobertura de uma gama de fenômenos muito mais ampla do que aquela que poderia pesquisar diretamente.</w:t>
      </w:r>
      <w:r w:rsidRPr="00152C1E">
        <w:rPr>
          <w:sz w:val="24"/>
          <w:szCs w:val="24"/>
        </w:rPr>
        <w:t xml:space="preserve"> </w:t>
      </w:r>
      <w:r w:rsidRPr="00B91049">
        <w:rPr>
          <w:sz w:val="24"/>
          <w:szCs w:val="24"/>
        </w:rPr>
        <w:t>[...]</w:t>
      </w:r>
      <w:r>
        <w:rPr>
          <w:sz w:val="24"/>
          <w:szCs w:val="24"/>
        </w:rPr>
        <w:t xml:space="preserve">” </w:t>
      </w:r>
      <w:r w:rsidRPr="00152C1E">
        <w:rPr>
          <w:sz w:val="24"/>
          <w:szCs w:val="24"/>
        </w:rPr>
        <w:t>(2002, p. 3)</w:t>
      </w:r>
    </w:p>
    <w:p w14:paraId="31A47B3E" w14:textId="77777777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É necessário destacar aqui o motivo da escolha dos três municípios analisados. Ela é fruto de várias pesquisas já realizadas por um dos autores do presente artigo na condição de professor com tempo integral e dedicação exclusiva.</w:t>
      </w:r>
    </w:p>
    <w:p w14:paraId="0E18CE1F" w14:textId="2FC426C6" w:rsidR="00662EEB" w:rsidRDefault="00662EEB" w:rsidP="00662EE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Em outras pesquisas por várias vezes foram escolhidos grupos de três municípios, sem repetição e para a presente, os três municípios pesquisados ficam na região Mesorregião Centro Ocidental Paranaense que agregam duas microrregiões</w:t>
      </w:r>
      <w:r w:rsidR="00084E50">
        <w:rPr>
          <w:sz w:val="24"/>
          <w:szCs w:val="24"/>
        </w:rPr>
        <w:t>,</w:t>
      </w:r>
      <w:r>
        <w:rPr>
          <w:sz w:val="24"/>
          <w:szCs w:val="24"/>
        </w:rPr>
        <w:t xml:space="preserve"> sendo elas de Campo Mourão e Goioerê.  São os municípios de Araruna-PR </w:t>
      </w:r>
      <w:r w:rsidRPr="00381632">
        <w:rPr>
          <w:sz w:val="24"/>
          <w:szCs w:val="24"/>
        </w:rPr>
        <w:t xml:space="preserve">14.029 </w:t>
      </w:r>
      <w:r>
        <w:rPr>
          <w:sz w:val="24"/>
          <w:szCs w:val="24"/>
        </w:rPr>
        <w:t xml:space="preserve">habitantes, Engenheiro Beltrão-PR </w:t>
      </w:r>
      <w:r w:rsidRPr="00381632">
        <w:rPr>
          <w:sz w:val="24"/>
          <w:szCs w:val="24"/>
        </w:rPr>
        <w:t xml:space="preserve">13.962 </w:t>
      </w:r>
      <w:r>
        <w:rPr>
          <w:sz w:val="24"/>
          <w:szCs w:val="24"/>
        </w:rPr>
        <w:t xml:space="preserve">habitantes e Terra Boa-PR 17.304 habitantes.    </w:t>
      </w:r>
    </w:p>
    <w:p w14:paraId="68A83182" w14:textId="01A35124" w:rsidR="00662EEB" w:rsidRDefault="00662EEB" w:rsidP="00662EE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E207B">
        <w:rPr>
          <w:color w:val="000000" w:themeColor="text1"/>
          <w:sz w:val="24"/>
          <w:szCs w:val="24"/>
        </w:rPr>
        <w:t xml:space="preserve">Na construção e análise deste artigo, foram utilizados métodos </w:t>
      </w:r>
      <w:r w:rsidR="00DF7F50">
        <w:rPr>
          <w:color w:val="000000" w:themeColor="text1"/>
          <w:sz w:val="24"/>
          <w:szCs w:val="24"/>
        </w:rPr>
        <w:t>quantitativos</w:t>
      </w:r>
      <w:r w:rsidRPr="000E207B">
        <w:rPr>
          <w:color w:val="000000" w:themeColor="text1"/>
          <w:sz w:val="24"/>
          <w:szCs w:val="24"/>
        </w:rPr>
        <w:t>, dando destaque em identificação de dados socioeconômicos dos três municípios analisados, com enfoque em pesquisas bibliográficas, buscando informações através de livros, revistas, periódicos, e principalmente, dados divulgados por</w:t>
      </w:r>
      <w:r>
        <w:rPr>
          <w:color w:val="000000" w:themeColor="text1"/>
          <w:sz w:val="24"/>
          <w:szCs w:val="24"/>
        </w:rPr>
        <w:t xml:space="preserve"> Banco</w:t>
      </w:r>
      <w:r w:rsidR="001271C6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de Dados de</w:t>
      </w:r>
      <w:r w:rsidRPr="000E207B">
        <w:rPr>
          <w:color w:val="000000" w:themeColor="text1"/>
          <w:sz w:val="24"/>
          <w:szCs w:val="24"/>
        </w:rPr>
        <w:t xml:space="preserve"> entidades governamentais. </w:t>
      </w:r>
    </w:p>
    <w:p w14:paraId="1780358D" w14:textId="4EC9610A" w:rsidR="00662EEB" w:rsidRPr="000E207B" w:rsidRDefault="00662EEB" w:rsidP="00662EE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 etapas metod</w:t>
      </w:r>
      <w:r w:rsidRPr="00947B5C">
        <w:rPr>
          <w:color w:val="000000" w:themeColor="text1"/>
          <w:sz w:val="24"/>
          <w:szCs w:val="24"/>
        </w:rPr>
        <w:t>ológicas adotad</w:t>
      </w:r>
      <w:r>
        <w:rPr>
          <w:color w:val="000000" w:themeColor="text1"/>
          <w:sz w:val="24"/>
          <w:szCs w:val="24"/>
        </w:rPr>
        <w:t>as</w:t>
      </w:r>
      <w:r w:rsidRPr="00947B5C">
        <w:rPr>
          <w:color w:val="000000" w:themeColor="text1"/>
          <w:sz w:val="24"/>
          <w:szCs w:val="24"/>
        </w:rPr>
        <w:t xml:space="preserve"> para </w:t>
      </w:r>
      <w:r>
        <w:rPr>
          <w:color w:val="000000" w:themeColor="text1"/>
          <w:sz w:val="24"/>
          <w:szCs w:val="24"/>
        </w:rPr>
        <w:t>a construção da pesquisa estão relacionadas com: aprimoramento</w:t>
      </w:r>
      <w:r w:rsidRPr="00947B5C">
        <w:rPr>
          <w:color w:val="000000" w:themeColor="text1"/>
          <w:sz w:val="24"/>
          <w:szCs w:val="24"/>
        </w:rPr>
        <w:t xml:space="preserve"> teórico</w:t>
      </w:r>
      <w:r>
        <w:rPr>
          <w:color w:val="000000" w:themeColor="text1"/>
          <w:sz w:val="24"/>
          <w:szCs w:val="24"/>
        </w:rPr>
        <w:t xml:space="preserve"> com a leitura</w:t>
      </w:r>
      <w:r w:rsidR="001271C6">
        <w:rPr>
          <w:color w:val="000000" w:themeColor="text1"/>
          <w:sz w:val="24"/>
          <w:szCs w:val="24"/>
        </w:rPr>
        <w:t xml:space="preserve"> bibliográfica</w:t>
      </w:r>
      <w:r>
        <w:rPr>
          <w:color w:val="000000" w:themeColor="text1"/>
          <w:sz w:val="24"/>
          <w:szCs w:val="24"/>
        </w:rPr>
        <w:t xml:space="preserve">, além de consumir dados que agregam na temática científica. Logo após toda pesquisa teórica, foi necessário atender aos objetivos específicos propostos com a compilação de dados socioeconômicos sobre os municípios paranaenses de Araruna, Engenheiro Beltrão e Terra Boa, consumindo dados dos principais órgãos governamentais em desenvolvimento e estatística, como: </w:t>
      </w:r>
      <w:r w:rsidRPr="00947B5C">
        <w:rPr>
          <w:color w:val="000000" w:themeColor="text1"/>
          <w:sz w:val="24"/>
          <w:szCs w:val="24"/>
        </w:rPr>
        <w:t>Instituto</w:t>
      </w:r>
      <w:r>
        <w:rPr>
          <w:color w:val="000000" w:themeColor="text1"/>
          <w:sz w:val="24"/>
          <w:szCs w:val="24"/>
        </w:rPr>
        <w:t xml:space="preserve"> </w:t>
      </w:r>
      <w:r w:rsidRPr="00947B5C">
        <w:rPr>
          <w:color w:val="000000" w:themeColor="text1"/>
          <w:sz w:val="24"/>
          <w:szCs w:val="24"/>
        </w:rPr>
        <w:t xml:space="preserve">Paranaense de Desenvolvimento Econômico e Social – </w:t>
      </w:r>
      <w:proofErr w:type="spellStart"/>
      <w:r w:rsidRPr="00947B5C">
        <w:rPr>
          <w:color w:val="000000" w:themeColor="text1"/>
          <w:sz w:val="24"/>
          <w:szCs w:val="24"/>
        </w:rPr>
        <w:t>Ipardes</w:t>
      </w:r>
      <w:proofErr w:type="spellEnd"/>
      <w:r w:rsidRPr="00947B5C">
        <w:rPr>
          <w:color w:val="000000" w:themeColor="text1"/>
          <w:sz w:val="24"/>
          <w:szCs w:val="24"/>
        </w:rPr>
        <w:t>, Instituto Brasileiro de</w:t>
      </w:r>
      <w:r>
        <w:rPr>
          <w:color w:val="000000" w:themeColor="text1"/>
          <w:sz w:val="24"/>
          <w:szCs w:val="24"/>
        </w:rPr>
        <w:t xml:space="preserve"> </w:t>
      </w:r>
      <w:r w:rsidRPr="00947B5C">
        <w:rPr>
          <w:color w:val="000000" w:themeColor="text1"/>
          <w:sz w:val="24"/>
          <w:szCs w:val="24"/>
        </w:rPr>
        <w:t xml:space="preserve">Geografia e Estatística – IBGE e Atlas do </w:t>
      </w:r>
      <w:r>
        <w:rPr>
          <w:color w:val="000000" w:themeColor="text1"/>
          <w:sz w:val="24"/>
          <w:szCs w:val="24"/>
        </w:rPr>
        <w:t>D</w:t>
      </w:r>
      <w:r w:rsidRPr="00947B5C">
        <w:rPr>
          <w:color w:val="000000" w:themeColor="text1"/>
          <w:sz w:val="24"/>
          <w:szCs w:val="24"/>
        </w:rPr>
        <w:t xml:space="preserve">esenvolvimento </w:t>
      </w:r>
      <w:r>
        <w:rPr>
          <w:color w:val="000000" w:themeColor="text1"/>
          <w:sz w:val="24"/>
          <w:szCs w:val="24"/>
        </w:rPr>
        <w:t>H</w:t>
      </w:r>
      <w:r w:rsidRPr="00947B5C">
        <w:rPr>
          <w:color w:val="000000" w:themeColor="text1"/>
          <w:sz w:val="24"/>
          <w:szCs w:val="24"/>
        </w:rPr>
        <w:t>umano do Brasil – Atlas Brasil.</w:t>
      </w:r>
    </w:p>
    <w:p w14:paraId="2C931639" w14:textId="19AF681C" w:rsidR="00662EEB" w:rsidRPr="0073565C" w:rsidRDefault="00662EEB" w:rsidP="00662EEB">
      <w:pPr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>A análise foi pautada no comparativo dos dados de indicadores fornecidos pelos sites citados acima, com uma fundamentação em</w:t>
      </w:r>
      <w:r w:rsidRPr="003E7721">
        <w:rPr>
          <w:color w:val="000000" w:themeColor="text1"/>
          <w:sz w:val="24"/>
          <w:szCs w:val="24"/>
        </w:rPr>
        <w:t xml:space="preserve"> comparativos dos mesmos e até alguns dados do </w:t>
      </w:r>
      <w:r>
        <w:rPr>
          <w:color w:val="000000" w:themeColor="text1"/>
          <w:sz w:val="24"/>
          <w:szCs w:val="24"/>
        </w:rPr>
        <w:t>E</w:t>
      </w:r>
      <w:r w:rsidRPr="003E7721">
        <w:rPr>
          <w:color w:val="000000" w:themeColor="text1"/>
          <w:sz w:val="24"/>
          <w:szCs w:val="24"/>
        </w:rPr>
        <w:t>stado do Paraná</w:t>
      </w:r>
      <w:r w:rsidR="008E605F">
        <w:rPr>
          <w:color w:val="000000" w:themeColor="text1"/>
          <w:sz w:val="24"/>
          <w:szCs w:val="24"/>
        </w:rPr>
        <w:t>,</w:t>
      </w:r>
      <w:r w:rsidRPr="003E7721">
        <w:rPr>
          <w:color w:val="000000" w:themeColor="text1"/>
          <w:sz w:val="24"/>
          <w:szCs w:val="24"/>
        </w:rPr>
        <w:t xml:space="preserve"> para um maior entendimento das conjunturas e dados agregados.</w:t>
      </w:r>
    </w:p>
    <w:p w14:paraId="21C864CC" w14:textId="32483394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 w:rsidRPr="003E7721">
        <w:rPr>
          <w:sz w:val="24"/>
          <w:szCs w:val="24"/>
        </w:rPr>
        <w:t xml:space="preserve">Assim, esse estudo fornece elementos para </w:t>
      </w:r>
      <w:r>
        <w:rPr>
          <w:sz w:val="24"/>
          <w:szCs w:val="24"/>
        </w:rPr>
        <w:t>expor indicadores econômicos dos três municípios do interior paranaense</w:t>
      </w:r>
      <w:r w:rsidR="002F79E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comparar com as médias do Estado do Paraná.</w:t>
      </w:r>
    </w:p>
    <w:p w14:paraId="1FCFA2A7" w14:textId="77777777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Foram analisados o</w:t>
      </w:r>
      <w:r w:rsidRPr="00A63886">
        <w:rPr>
          <w:sz w:val="24"/>
          <w:szCs w:val="24"/>
        </w:rPr>
        <w:t xml:space="preserve"> Índice de Desenvolvimento Humano Municipal (IDHM) considerando educação, renda longevidade e educação, além de utilizarmos outros indicadores como: a renda per capita, </w:t>
      </w:r>
      <w:r>
        <w:rPr>
          <w:sz w:val="24"/>
          <w:szCs w:val="24"/>
        </w:rPr>
        <w:t xml:space="preserve">taxa de analfabetismo, </w:t>
      </w:r>
      <w:r w:rsidRPr="00A63886">
        <w:rPr>
          <w:sz w:val="24"/>
          <w:szCs w:val="24"/>
        </w:rPr>
        <w:t>indicadores de habitação especificamente percentual da população que residem em domicílios ligados a rede de água, esgoto sanitário e coleta de resíduos domiciliares, valor adicionado per capita</w:t>
      </w:r>
      <w:r>
        <w:rPr>
          <w:sz w:val="24"/>
          <w:szCs w:val="24"/>
        </w:rPr>
        <w:t>.</w:t>
      </w:r>
    </w:p>
    <w:p w14:paraId="7B9FB183" w14:textId="77777777" w:rsidR="00662EEB" w:rsidRDefault="00662EEB" w:rsidP="00662E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finalmente em termos comparativos, para cada análise de itens entre os municípios optou-se por seguir uma classificação do primeiro ao terceiro colocado e atribuição de pesos para um somatório no final. Primeiro lugar peso 3, segundo lugar peso 2 e terceiro lugar peso 1.  </w:t>
      </w:r>
    </w:p>
    <w:p w14:paraId="52EC5437" w14:textId="77777777" w:rsidR="00662EEB" w:rsidRDefault="00662EEB" w:rsidP="001E7A6B">
      <w:pPr>
        <w:spacing w:line="360" w:lineRule="auto"/>
        <w:jc w:val="both"/>
        <w:rPr>
          <w:b/>
          <w:color w:val="FF0000"/>
          <w:sz w:val="24"/>
          <w:szCs w:val="24"/>
        </w:rPr>
      </w:pPr>
      <w:bookmarkStart w:id="2" w:name="page3"/>
      <w:bookmarkEnd w:id="2"/>
    </w:p>
    <w:p w14:paraId="37F101D4" w14:textId="10ABEAED" w:rsidR="00A64D24" w:rsidRPr="00AE5ADE" w:rsidRDefault="00BF7320" w:rsidP="001E7A6B">
      <w:pPr>
        <w:spacing w:line="360" w:lineRule="auto"/>
        <w:jc w:val="both"/>
        <w:rPr>
          <w:b/>
          <w:sz w:val="24"/>
          <w:szCs w:val="24"/>
        </w:rPr>
      </w:pPr>
      <w:r w:rsidRPr="00AE5ADE">
        <w:rPr>
          <w:b/>
          <w:sz w:val="24"/>
          <w:szCs w:val="24"/>
        </w:rPr>
        <w:t xml:space="preserve">RESULTADOS E DISCUSSÕES </w:t>
      </w:r>
    </w:p>
    <w:p w14:paraId="2E603647" w14:textId="77777777" w:rsidR="00EF571C" w:rsidRDefault="00EF571C" w:rsidP="001E7A6B">
      <w:pPr>
        <w:spacing w:line="360" w:lineRule="auto"/>
        <w:jc w:val="both"/>
        <w:rPr>
          <w:color w:val="FF0000"/>
          <w:sz w:val="24"/>
          <w:szCs w:val="24"/>
        </w:rPr>
      </w:pPr>
    </w:p>
    <w:p w14:paraId="3E70ED59" w14:textId="367EE6FB" w:rsidR="00AE5ADE" w:rsidRDefault="00AE5ADE" w:rsidP="00AE5ADE">
      <w:pPr>
        <w:tabs>
          <w:tab w:val="left" w:pos="189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da apresentação de alguns autores que fundamentam esta pesquisa é necessário destacar novamente, que os três municípios pesquisados ficam na região Mesorregião Centro Ocidental Paranaense que agrega duas microrregiões sendo elas de Campo Mourão e Goioerê. </w:t>
      </w:r>
    </w:p>
    <w:p w14:paraId="0D4E432E" w14:textId="77777777" w:rsidR="00AE5ADE" w:rsidRDefault="00AE5ADE" w:rsidP="00AE5ADE">
      <w:pPr>
        <w:tabs>
          <w:tab w:val="left" w:pos="189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se trata de indicadores socioeconômicos sempre se tem em mente perceber como são as condições de vida das pessoas que habitam em determinada localidade. Como ressalta </w:t>
      </w:r>
      <w:r w:rsidRPr="0060706E">
        <w:rPr>
          <w:sz w:val="24"/>
          <w:szCs w:val="24"/>
        </w:rPr>
        <w:t>Rosado et al. (2009)</w:t>
      </w:r>
      <w:r w:rsidRPr="004602E3">
        <w:rPr>
          <w:sz w:val="24"/>
          <w:szCs w:val="24"/>
        </w:rPr>
        <w:t>,</w:t>
      </w:r>
      <w:r>
        <w:rPr>
          <w:sz w:val="24"/>
          <w:szCs w:val="24"/>
        </w:rPr>
        <w:t xml:space="preserve"> em grande parte dos estudos que se procuram tratar sobre condições de vida uma determinada população, somente</w:t>
      </w:r>
      <w:r w:rsidRPr="00587DBF">
        <w:rPr>
          <w:sz w:val="24"/>
          <w:szCs w:val="24"/>
        </w:rPr>
        <w:t xml:space="preserve"> se restringem a considerarem que a performance de desenvolvimento baix</w:t>
      </w:r>
      <w:r>
        <w:rPr>
          <w:sz w:val="24"/>
          <w:szCs w:val="24"/>
        </w:rPr>
        <w:t>o do mesmo,</w:t>
      </w:r>
      <w:r w:rsidRPr="00587DBF">
        <w:rPr>
          <w:sz w:val="24"/>
          <w:szCs w:val="24"/>
        </w:rPr>
        <w:t xml:space="preserve"> está diretamente </w:t>
      </w:r>
      <w:r>
        <w:rPr>
          <w:sz w:val="24"/>
          <w:szCs w:val="24"/>
        </w:rPr>
        <w:t>ligada</w:t>
      </w:r>
      <w:r w:rsidRPr="00587DBF">
        <w:rPr>
          <w:sz w:val="24"/>
          <w:szCs w:val="24"/>
        </w:rPr>
        <w:t xml:space="preserve"> a baixa renda, e</w:t>
      </w:r>
      <w:r>
        <w:rPr>
          <w:sz w:val="24"/>
          <w:szCs w:val="24"/>
        </w:rPr>
        <w:t xml:space="preserve"> tudo de ruim que por consequência deriva dela, e sendo </w:t>
      </w:r>
      <w:r w:rsidRPr="00587DBF">
        <w:rPr>
          <w:sz w:val="24"/>
          <w:szCs w:val="24"/>
        </w:rPr>
        <w:t>analisada</w:t>
      </w:r>
      <w:r>
        <w:rPr>
          <w:sz w:val="24"/>
          <w:szCs w:val="24"/>
        </w:rPr>
        <w:t xml:space="preserve"> com critério,</w:t>
      </w:r>
      <w:r w:rsidRPr="00587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necessidade de melhoria </w:t>
      </w:r>
      <w:r w:rsidRPr="00587DBF">
        <w:rPr>
          <w:sz w:val="24"/>
          <w:szCs w:val="24"/>
        </w:rPr>
        <w:t xml:space="preserve">estaria diretamente ligada a partir do crescimento </w:t>
      </w:r>
      <w:r>
        <w:rPr>
          <w:sz w:val="24"/>
          <w:szCs w:val="24"/>
        </w:rPr>
        <w:t>da mesma</w:t>
      </w:r>
      <w:r w:rsidRPr="00587DBF">
        <w:rPr>
          <w:sz w:val="24"/>
          <w:szCs w:val="24"/>
        </w:rPr>
        <w:t xml:space="preserve">. </w:t>
      </w:r>
      <w:r>
        <w:rPr>
          <w:sz w:val="24"/>
          <w:szCs w:val="24"/>
        </w:rPr>
        <w:t>É necessário também que a análise deve envolver</w:t>
      </w:r>
      <w:r w:rsidRPr="00587DBF">
        <w:rPr>
          <w:sz w:val="24"/>
          <w:szCs w:val="24"/>
        </w:rPr>
        <w:t xml:space="preserve"> índices de habitação, educação, saúde e infraestrutura.</w:t>
      </w:r>
    </w:p>
    <w:p w14:paraId="0E73F901" w14:textId="77777777" w:rsidR="00AE5ADE" w:rsidRDefault="00AE5ADE" w:rsidP="00AE5ADE">
      <w:pPr>
        <w:tabs>
          <w:tab w:val="left" w:pos="189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 w:rsidRPr="00401DA3">
        <w:rPr>
          <w:sz w:val="24"/>
          <w:szCs w:val="24"/>
        </w:rPr>
        <w:t>Gremaud</w:t>
      </w:r>
      <w:proofErr w:type="spellEnd"/>
      <w:r w:rsidRPr="00401DA3">
        <w:rPr>
          <w:sz w:val="24"/>
          <w:szCs w:val="24"/>
        </w:rPr>
        <w:t xml:space="preserve"> (2007), </w:t>
      </w:r>
      <w:r>
        <w:rPr>
          <w:sz w:val="24"/>
          <w:szCs w:val="24"/>
        </w:rPr>
        <w:t>a</w:t>
      </w:r>
      <w:r w:rsidRPr="00310D5B">
        <w:rPr>
          <w:sz w:val="24"/>
          <w:szCs w:val="24"/>
        </w:rPr>
        <w:t xml:space="preserve"> análise dos indicadores socioeconômicos</w:t>
      </w:r>
      <w:r>
        <w:rPr>
          <w:sz w:val="24"/>
          <w:szCs w:val="24"/>
        </w:rPr>
        <w:t xml:space="preserve"> </w:t>
      </w:r>
      <w:r w:rsidRPr="00310D5B">
        <w:rPr>
          <w:sz w:val="24"/>
          <w:szCs w:val="24"/>
        </w:rPr>
        <w:t xml:space="preserve">permite compreender </w:t>
      </w:r>
      <w:r>
        <w:rPr>
          <w:sz w:val="24"/>
          <w:szCs w:val="24"/>
        </w:rPr>
        <w:t>p</w:t>
      </w:r>
      <w:r w:rsidRPr="00310D5B">
        <w:rPr>
          <w:sz w:val="24"/>
          <w:szCs w:val="24"/>
        </w:rPr>
        <w:t>o</w:t>
      </w:r>
      <w:r>
        <w:rPr>
          <w:sz w:val="24"/>
          <w:szCs w:val="24"/>
        </w:rPr>
        <w:t>r exemplo, o</w:t>
      </w:r>
      <w:r w:rsidRPr="00310D5B">
        <w:rPr>
          <w:sz w:val="24"/>
          <w:szCs w:val="24"/>
        </w:rPr>
        <w:t xml:space="preserve"> grau da qualidade de vida de uma população, mediante o</w:t>
      </w:r>
      <w:r>
        <w:rPr>
          <w:sz w:val="24"/>
          <w:szCs w:val="24"/>
        </w:rPr>
        <w:t xml:space="preserve"> </w:t>
      </w:r>
      <w:r w:rsidRPr="00310D5B">
        <w:rPr>
          <w:sz w:val="24"/>
          <w:szCs w:val="24"/>
        </w:rPr>
        <w:t>recolhimento de informações e dados relacionadas com a renda, saúde, nível de escolaridade,</w:t>
      </w:r>
      <w:r>
        <w:rPr>
          <w:sz w:val="24"/>
          <w:szCs w:val="24"/>
        </w:rPr>
        <w:t xml:space="preserve"> </w:t>
      </w:r>
      <w:r w:rsidRPr="00310D5B">
        <w:rPr>
          <w:sz w:val="24"/>
          <w:szCs w:val="24"/>
        </w:rPr>
        <w:t>oportunidade de emprego e nível de pobreza e desigualdade</w:t>
      </w:r>
      <w:r>
        <w:rPr>
          <w:sz w:val="24"/>
          <w:szCs w:val="24"/>
        </w:rPr>
        <w:t>.</w:t>
      </w:r>
      <w:r w:rsidRPr="00310D5B">
        <w:rPr>
          <w:sz w:val="24"/>
          <w:szCs w:val="24"/>
        </w:rPr>
        <w:t xml:space="preserve"> </w:t>
      </w:r>
    </w:p>
    <w:p w14:paraId="1224652C" w14:textId="3D6FF297" w:rsidR="00AE5ADE" w:rsidRDefault="00AE5ADE" w:rsidP="00AE5ADE">
      <w:pPr>
        <w:tabs>
          <w:tab w:val="left" w:pos="1890"/>
        </w:tabs>
        <w:spacing w:line="360" w:lineRule="auto"/>
        <w:ind w:firstLine="708"/>
        <w:jc w:val="both"/>
        <w:rPr>
          <w:sz w:val="24"/>
          <w:szCs w:val="24"/>
        </w:rPr>
      </w:pPr>
      <w:r w:rsidRPr="00587DBF">
        <w:rPr>
          <w:sz w:val="24"/>
          <w:szCs w:val="24"/>
        </w:rPr>
        <w:t xml:space="preserve">Os dados </w:t>
      </w:r>
      <w:r>
        <w:rPr>
          <w:sz w:val="24"/>
          <w:szCs w:val="24"/>
        </w:rPr>
        <w:t xml:space="preserve">utilizados na </w:t>
      </w:r>
      <w:r w:rsidRPr="007F09D3">
        <w:rPr>
          <w:sz w:val="24"/>
          <w:szCs w:val="24"/>
        </w:rPr>
        <w:t>Mesorregião do Centro Ocidental Paranaense</w:t>
      </w:r>
      <w:r w:rsidRPr="00587DBF">
        <w:rPr>
          <w:sz w:val="24"/>
          <w:szCs w:val="24"/>
        </w:rPr>
        <w:t xml:space="preserve"> </w:t>
      </w:r>
      <w:r>
        <w:rPr>
          <w:sz w:val="24"/>
          <w:szCs w:val="24"/>
        </w:rPr>
        <w:t>estão apontados para visualizarmos e analisarmos o d</w:t>
      </w:r>
      <w:r w:rsidRPr="00587DBF">
        <w:rPr>
          <w:sz w:val="24"/>
          <w:szCs w:val="24"/>
        </w:rPr>
        <w:t>esenvolvimento econômico regional</w:t>
      </w:r>
      <w:r>
        <w:rPr>
          <w:sz w:val="24"/>
          <w:szCs w:val="24"/>
        </w:rPr>
        <w:t xml:space="preserve"> dos municípios citados acima, envolvendo amplas variáveis econômicas e soc</w:t>
      </w:r>
      <w:r w:rsidR="00617D85">
        <w:rPr>
          <w:sz w:val="24"/>
          <w:szCs w:val="24"/>
        </w:rPr>
        <w:t>i</w:t>
      </w:r>
      <w:r>
        <w:rPr>
          <w:sz w:val="24"/>
          <w:szCs w:val="24"/>
        </w:rPr>
        <w:t>ais</w:t>
      </w:r>
      <w:r w:rsidRPr="00587D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Segundo, </w:t>
      </w:r>
      <w:r w:rsidRPr="00837900">
        <w:rPr>
          <w:sz w:val="24"/>
          <w:szCs w:val="24"/>
        </w:rPr>
        <w:t>Tavares e Porto Junior (2008),</w:t>
      </w:r>
      <w:r>
        <w:rPr>
          <w:sz w:val="24"/>
          <w:szCs w:val="24"/>
        </w:rPr>
        <w:t xml:space="preserve"> uma estrutura de gestão de </w:t>
      </w:r>
      <w:r w:rsidRPr="009E17DD">
        <w:rPr>
          <w:sz w:val="24"/>
          <w:szCs w:val="24"/>
        </w:rPr>
        <w:t>políticas públicas deve ser ponderada pelas disparidades regionais, faz-se</w:t>
      </w:r>
      <w:r>
        <w:rPr>
          <w:sz w:val="24"/>
          <w:szCs w:val="24"/>
        </w:rPr>
        <w:t xml:space="preserve"> </w:t>
      </w:r>
      <w:r w:rsidRPr="009E17DD">
        <w:rPr>
          <w:sz w:val="24"/>
          <w:szCs w:val="24"/>
        </w:rPr>
        <w:t>relevante determinar</w:t>
      </w:r>
      <w:r>
        <w:rPr>
          <w:sz w:val="24"/>
          <w:szCs w:val="24"/>
        </w:rPr>
        <w:t xml:space="preserve"> </w:t>
      </w:r>
      <w:r w:rsidRPr="009E17DD">
        <w:rPr>
          <w:sz w:val="24"/>
          <w:szCs w:val="24"/>
        </w:rPr>
        <w:t xml:space="preserve">em quais aspectos as regiões do país se </w:t>
      </w:r>
      <w:r>
        <w:rPr>
          <w:sz w:val="24"/>
          <w:szCs w:val="24"/>
        </w:rPr>
        <w:t>assemelham para que se possa utilizar de exemplos e onde divergem para que novas tentativas mais efetivas sejam cabíveis.</w:t>
      </w:r>
    </w:p>
    <w:p w14:paraId="1949F93E" w14:textId="77777777" w:rsidR="00AE5ADE" w:rsidRPr="00A63886" w:rsidRDefault="00AE5ADE" w:rsidP="00AE5ADE">
      <w:pPr>
        <w:spacing w:line="360" w:lineRule="auto"/>
        <w:ind w:firstLine="709"/>
        <w:jc w:val="both"/>
        <w:rPr>
          <w:sz w:val="24"/>
          <w:szCs w:val="24"/>
        </w:rPr>
      </w:pPr>
      <w:r w:rsidRPr="00A63886">
        <w:rPr>
          <w:sz w:val="24"/>
          <w:szCs w:val="24"/>
        </w:rPr>
        <w:t>A análise dos indicadores de desenvolvimento é a forma mais usual para o diagnóstico do nível de desenvolvimento de regiões, sejam elas cidades, estados ou países. O levantamento e estudo dos indicadores dos municípios de Araruna, Engenheiro Beltrão e Terra Boa foram fundamentais para considerações sobre o atual momento do município no que diz respeito ao seu desenvolvimento.</w:t>
      </w:r>
    </w:p>
    <w:p w14:paraId="45EB721A" w14:textId="15A30414" w:rsidR="00AE5ADE" w:rsidRPr="00A63886" w:rsidRDefault="00AE5ADE" w:rsidP="00AE5ADE">
      <w:pPr>
        <w:spacing w:line="360" w:lineRule="auto"/>
        <w:ind w:firstLine="709"/>
        <w:jc w:val="both"/>
        <w:rPr>
          <w:sz w:val="24"/>
          <w:szCs w:val="24"/>
        </w:rPr>
      </w:pPr>
      <w:r w:rsidRPr="00A63886">
        <w:rPr>
          <w:sz w:val="24"/>
          <w:szCs w:val="24"/>
        </w:rPr>
        <w:lastRenderedPageBreak/>
        <w:t xml:space="preserve">De acordo com as informações apresentadas no estudo elaborado pelo Instituto Brasileiro de Geografia e Estatística – IBGE (2021), os municípios analisados sendo eles: de Araruna, Engenheiro Beltrão e Terra Boa tinham, respectivamente, </w:t>
      </w:r>
      <w:r w:rsidRPr="00381632">
        <w:rPr>
          <w:sz w:val="24"/>
          <w:szCs w:val="24"/>
        </w:rPr>
        <w:t xml:space="preserve">14.029, 13.962 e 17.304 de </w:t>
      </w:r>
      <w:r w:rsidRPr="005F0F11">
        <w:rPr>
          <w:sz w:val="24"/>
          <w:szCs w:val="24"/>
        </w:rPr>
        <w:t>população estando localizados na</w:t>
      </w:r>
      <w:r w:rsidRPr="00A63886">
        <w:rPr>
          <w:sz w:val="24"/>
          <w:szCs w:val="24"/>
        </w:rPr>
        <w:t xml:space="preserve"> Mesorregião Centro-Ocidental do Estado do Paraná. Ainda segundo o IBGE a Região possui </w:t>
      </w:r>
      <w:r w:rsidRPr="005F0F11">
        <w:rPr>
          <w:sz w:val="24"/>
          <w:szCs w:val="24"/>
        </w:rPr>
        <w:t>309.059</w:t>
      </w:r>
      <w:r>
        <w:rPr>
          <w:sz w:val="24"/>
          <w:szCs w:val="24"/>
        </w:rPr>
        <w:t xml:space="preserve"> habitantes</w:t>
      </w:r>
      <w:r w:rsidRPr="005F0F11">
        <w:rPr>
          <w:sz w:val="24"/>
          <w:szCs w:val="24"/>
        </w:rPr>
        <w:t xml:space="preserve">, logo, os </w:t>
      </w:r>
      <w:r w:rsidR="00F93937">
        <w:rPr>
          <w:sz w:val="24"/>
          <w:szCs w:val="24"/>
        </w:rPr>
        <w:t>três</w:t>
      </w:r>
      <w:r w:rsidRPr="005F0F11">
        <w:rPr>
          <w:sz w:val="24"/>
          <w:szCs w:val="24"/>
        </w:rPr>
        <w:t xml:space="preserve"> municípios juntos representam cerca de 14,65% da região </w:t>
      </w:r>
      <w:r w:rsidRPr="00A63886">
        <w:rPr>
          <w:sz w:val="24"/>
          <w:szCs w:val="24"/>
        </w:rPr>
        <w:t>Centro-Ocidental do Estado.</w:t>
      </w:r>
    </w:p>
    <w:p w14:paraId="74851A39" w14:textId="00A32DD7" w:rsidR="00AE5ADE" w:rsidRDefault="00AE5ADE" w:rsidP="00AE5ADE">
      <w:pPr>
        <w:spacing w:line="360" w:lineRule="auto"/>
        <w:ind w:firstLine="709"/>
        <w:jc w:val="both"/>
        <w:rPr>
          <w:sz w:val="24"/>
          <w:szCs w:val="24"/>
        </w:rPr>
      </w:pPr>
      <w:r w:rsidRPr="00A63886">
        <w:rPr>
          <w:sz w:val="24"/>
          <w:szCs w:val="24"/>
        </w:rPr>
        <w:t>Para uma análise foram considerados os seguintes indicadores sociais no presente estudo: o Índice de Desenvolvimento Humano Municipal (IDHM) considerando educação, renda</w:t>
      </w:r>
      <w:r w:rsidR="00C97572">
        <w:rPr>
          <w:sz w:val="24"/>
          <w:szCs w:val="24"/>
        </w:rPr>
        <w:t>,</w:t>
      </w:r>
      <w:r w:rsidRPr="00A63886">
        <w:rPr>
          <w:sz w:val="24"/>
          <w:szCs w:val="24"/>
        </w:rPr>
        <w:t xml:space="preserve"> longevidade e educação, além de utilizarmos outros indicadores como: a renda per capita, </w:t>
      </w:r>
      <w:r w:rsidR="000F32DE">
        <w:rPr>
          <w:sz w:val="24"/>
          <w:szCs w:val="24"/>
        </w:rPr>
        <w:t>níveis educacionais de ensino fundamental e superior</w:t>
      </w:r>
      <w:r>
        <w:rPr>
          <w:sz w:val="24"/>
          <w:szCs w:val="24"/>
        </w:rPr>
        <w:t xml:space="preserve">, </w:t>
      </w:r>
      <w:r w:rsidRPr="00A63886">
        <w:rPr>
          <w:sz w:val="24"/>
          <w:szCs w:val="24"/>
        </w:rPr>
        <w:t>indicadores de habitação especificamente percentual da população que residem em domicílios ligados a rede de água, esgoto sanitário e coleta de resíduos domiciliares, valor adicionado per capita</w:t>
      </w:r>
      <w:r w:rsidR="00970D9A">
        <w:rPr>
          <w:sz w:val="24"/>
          <w:szCs w:val="24"/>
        </w:rPr>
        <w:t xml:space="preserve"> etc</w:t>
      </w:r>
      <w:r w:rsidRPr="00A63886">
        <w:rPr>
          <w:sz w:val="24"/>
          <w:szCs w:val="24"/>
        </w:rPr>
        <w:t xml:space="preserve">. Todos esses indicadores trazem uma dimensão fundamental no processo de avaliação da vivência dessa sociedade dos respectivos municípios analisados. </w:t>
      </w:r>
    </w:p>
    <w:p w14:paraId="314BE130" w14:textId="53954B08" w:rsidR="00AE5ADE" w:rsidRDefault="00AE5ADE" w:rsidP="00AE5AD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É imprescindível salientar que o IDH é um dos índices mais completos para se medir desenvolvimento econômico de município, Estado ou país.</w:t>
      </w:r>
      <w:r w:rsidR="0062270F">
        <w:rPr>
          <w:sz w:val="24"/>
          <w:szCs w:val="24"/>
        </w:rPr>
        <w:t xml:space="preserve"> E surgiu para ampliar significativamente PIB – Produto Interno Bruto que é importante para medir grau de crescimento econômico mas não de desenvolvimento. </w:t>
      </w:r>
      <w:r>
        <w:rPr>
          <w:sz w:val="24"/>
          <w:szCs w:val="24"/>
        </w:rPr>
        <w:t xml:space="preserve"> </w:t>
      </w:r>
    </w:p>
    <w:p w14:paraId="634A4C62" w14:textId="72924209" w:rsidR="00B525FA" w:rsidRDefault="00B525FA" w:rsidP="00AE5AD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Segue-se Tabela 1 – IDH-M e Gráfico 1 correspondente aos dados da referida Tabela e análises.  </w:t>
      </w:r>
    </w:p>
    <w:p w14:paraId="59D92AB2" w14:textId="15D8B15C" w:rsidR="00210999" w:rsidRDefault="00210999" w:rsidP="00210999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Tabela</w:t>
      </w:r>
      <w:r w:rsidRPr="00A55B3D">
        <w:rPr>
          <w:b/>
          <w:bCs/>
          <w:sz w:val="24"/>
          <w:szCs w:val="24"/>
        </w:rPr>
        <w:t xml:space="preserve"> 1 </w:t>
      </w:r>
      <w:r>
        <w:rPr>
          <w:b/>
          <w:bCs/>
          <w:sz w:val="24"/>
          <w:szCs w:val="24"/>
        </w:rPr>
        <w:t>–</w:t>
      </w:r>
      <w:r w:rsidRPr="00A55B3D">
        <w:rPr>
          <w:b/>
          <w:bCs/>
          <w:sz w:val="24"/>
          <w:szCs w:val="24"/>
        </w:rPr>
        <w:t xml:space="preserve"> IDH</w:t>
      </w:r>
      <w:r>
        <w:rPr>
          <w:b/>
          <w:bCs/>
          <w:sz w:val="24"/>
          <w:szCs w:val="24"/>
        </w:rPr>
        <w:t>-</w:t>
      </w:r>
      <w:r w:rsidRPr="00A55B3D">
        <w:rPr>
          <w:b/>
          <w:bCs/>
          <w:sz w:val="24"/>
          <w:szCs w:val="24"/>
        </w:rPr>
        <w:t>M</w:t>
      </w:r>
    </w:p>
    <w:tbl>
      <w:tblPr>
        <w:tblW w:w="8905" w:type="dxa"/>
        <w:tblInd w:w="108" w:type="dxa"/>
        <w:tblLook w:val="04A0" w:firstRow="1" w:lastRow="0" w:firstColumn="1" w:lastColumn="0" w:noHBand="0" w:noVBand="1"/>
      </w:tblPr>
      <w:tblGrid>
        <w:gridCol w:w="4029"/>
        <w:gridCol w:w="1625"/>
        <w:gridCol w:w="1625"/>
        <w:gridCol w:w="1626"/>
      </w:tblGrid>
      <w:tr w:rsidR="00210999" w:rsidRPr="00210999" w14:paraId="29B563D6" w14:textId="77777777" w:rsidTr="00210999">
        <w:trPr>
          <w:trHeight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445" w14:textId="77777777" w:rsidR="00210999" w:rsidRPr="00210999" w:rsidRDefault="00210999" w:rsidP="0021099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18C070D5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  <w:t>IDH-M</w:t>
            </w:r>
          </w:p>
        </w:tc>
      </w:tr>
      <w:tr w:rsidR="00210999" w:rsidRPr="00210999" w14:paraId="5B9E5C9C" w14:textId="77777777" w:rsidTr="00210999">
        <w:trPr>
          <w:trHeight w:val="287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363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109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Territorialidades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66E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09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1991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F28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09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092A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099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2010</w:t>
            </w:r>
          </w:p>
        </w:tc>
      </w:tr>
      <w:tr w:rsidR="00210999" w:rsidRPr="00210999" w14:paraId="13057EFE" w14:textId="77777777" w:rsidTr="00210999">
        <w:trPr>
          <w:trHeight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A08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Brasil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B2F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0.493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197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0.612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DB1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0.727</w:t>
            </w:r>
          </w:p>
        </w:tc>
      </w:tr>
      <w:tr w:rsidR="00210999" w:rsidRPr="00210999" w14:paraId="1D0FF523" w14:textId="77777777" w:rsidTr="00210999">
        <w:trPr>
          <w:trHeight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8E2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Araruna</w:t>
            </w:r>
            <w:proofErr w:type="spellEnd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(PR)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24D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289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0.602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54E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0.704</w:t>
            </w:r>
          </w:p>
        </w:tc>
      </w:tr>
      <w:tr w:rsidR="00210999" w:rsidRPr="00210999" w14:paraId="4A1963B8" w14:textId="77777777" w:rsidTr="00210999">
        <w:trPr>
          <w:trHeight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6AD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Engenheiro</w:t>
            </w:r>
            <w:proofErr w:type="spellEnd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Beltrão</w:t>
            </w:r>
            <w:proofErr w:type="spellEnd"/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(PR)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CEDA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0.489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36EA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847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0.73</w:t>
            </w:r>
          </w:p>
        </w:tc>
      </w:tr>
      <w:tr w:rsidR="00210999" w:rsidRPr="00210999" w14:paraId="19892DC4" w14:textId="77777777" w:rsidTr="00210999">
        <w:trPr>
          <w:trHeight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149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Terra Boa (PR)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662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0.475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7C7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F87" w14:textId="77777777" w:rsidR="00210999" w:rsidRPr="00210999" w:rsidRDefault="00210999" w:rsidP="00210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1099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0.728</w:t>
            </w:r>
          </w:p>
        </w:tc>
      </w:tr>
    </w:tbl>
    <w:p w14:paraId="50C74C25" w14:textId="6FFC5A23" w:rsidR="00257767" w:rsidRPr="00AE5ADE" w:rsidRDefault="00257767" w:rsidP="00257767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AE5ADE">
        <w:rPr>
          <w:color w:val="000000"/>
          <w:sz w:val="22"/>
          <w:szCs w:val="22"/>
        </w:rPr>
        <w:t>Fonte: Atlas Brasil (2022)</w:t>
      </w:r>
      <w:r w:rsidR="00AE5ADE" w:rsidRPr="00AE5ADE">
        <w:rPr>
          <w:color w:val="000000"/>
          <w:sz w:val="22"/>
          <w:szCs w:val="22"/>
        </w:rPr>
        <w:t xml:space="preserve"> –</w:t>
      </w:r>
      <w:r w:rsidR="0012348A">
        <w:rPr>
          <w:color w:val="000000"/>
          <w:sz w:val="22"/>
          <w:szCs w:val="22"/>
        </w:rPr>
        <w:t xml:space="preserve"> </w:t>
      </w:r>
      <w:r w:rsidR="00AE5ADE" w:rsidRPr="00AE5ADE">
        <w:rPr>
          <w:color w:val="000000"/>
          <w:sz w:val="22"/>
          <w:szCs w:val="22"/>
        </w:rPr>
        <w:t>Elaborado pelos autores</w:t>
      </w:r>
      <w:r w:rsidR="00B525FA">
        <w:rPr>
          <w:color w:val="000000"/>
          <w:sz w:val="22"/>
          <w:szCs w:val="22"/>
        </w:rPr>
        <w:t>.</w:t>
      </w:r>
    </w:p>
    <w:p w14:paraId="3F1AEF1F" w14:textId="77777777" w:rsidR="00B525FA" w:rsidRDefault="00B525FA" w:rsidP="001E7A6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9E2597D" w14:textId="7645046A" w:rsidR="001E7A6B" w:rsidRPr="00A55B3D" w:rsidRDefault="001E7A6B" w:rsidP="001E7A6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55B3D">
        <w:rPr>
          <w:b/>
          <w:bCs/>
          <w:sz w:val="24"/>
          <w:szCs w:val="24"/>
        </w:rPr>
        <w:t>Gráfico 1</w:t>
      </w:r>
      <w:r w:rsidR="00A55B3D" w:rsidRPr="00A55B3D">
        <w:rPr>
          <w:b/>
          <w:bCs/>
          <w:sz w:val="24"/>
          <w:szCs w:val="24"/>
        </w:rPr>
        <w:t xml:space="preserve"> </w:t>
      </w:r>
      <w:r w:rsidR="00A44435">
        <w:rPr>
          <w:b/>
          <w:bCs/>
          <w:sz w:val="24"/>
          <w:szCs w:val="24"/>
        </w:rPr>
        <w:t>–</w:t>
      </w:r>
      <w:r w:rsidRPr="00A55B3D">
        <w:rPr>
          <w:b/>
          <w:bCs/>
          <w:sz w:val="24"/>
          <w:szCs w:val="24"/>
        </w:rPr>
        <w:t xml:space="preserve"> IDH</w:t>
      </w:r>
      <w:r w:rsidR="00A44435">
        <w:rPr>
          <w:b/>
          <w:bCs/>
          <w:sz w:val="24"/>
          <w:szCs w:val="24"/>
        </w:rPr>
        <w:t>-</w:t>
      </w:r>
      <w:r w:rsidRPr="00A55B3D">
        <w:rPr>
          <w:b/>
          <w:bCs/>
          <w:sz w:val="24"/>
          <w:szCs w:val="24"/>
        </w:rPr>
        <w:t>M</w:t>
      </w:r>
    </w:p>
    <w:p w14:paraId="1B8FD486" w14:textId="77777777" w:rsidR="001E7A6B" w:rsidRPr="00A63886" w:rsidRDefault="001E7A6B" w:rsidP="001E7A6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63886">
        <w:rPr>
          <w:noProof/>
          <w:sz w:val="24"/>
          <w:szCs w:val="24"/>
        </w:rPr>
        <w:lastRenderedPageBreak/>
        <w:drawing>
          <wp:inline distT="0" distB="0" distL="0" distR="0" wp14:anchorId="01D853D3" wp14:editId="4A3BF041">
            <wp:extent cx="3990975" cy="23241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2191FA-0A73-F997-1D58-09AC6B5EB7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3886">
        <w:rPr>
          <w:noProof/>
          <w:sz w:val="24"/>
          <w:szCs w:val="24"/>
        </w:rPr>
        <w:t xml:space="preserve"> </w:t>
      </w:r>
    </w:p>
    <w:p w14:paraId="77D8D06C" w14:textId="0EF2B992" w:rsidR="001E7A6B" w:rsidRPr="0012348A" w:rsidRDefault="001E7A6B" w:rsidP="001E7A6B">
      <w:pPr>
        <w:spacing w:line="360" w:lineRule="auto"/>
        <w:ind w:firstLine="709"/>
        <w:jc w:val="both"/>
        <w:rPr>
          <w:sz w:val="24"/>
          <w:szCs w:val="24"/>
        </w:rPr>
      </w:pPr>
      <w:r w:rsidRPr="0012348A">
        <w:rPr>
          <w:sz w:val="24"/>
          <w:szCs w:val="24"/>
        </w:rPr>
        <w:t>Fonte: Atlas Brasil (2022)</w:t>
      </w:r>
      <w:r w:rsidR="0012348A" w:rsidRPr="0012348A">
        <w:rPr>
          <w:sz w:val="24"/>
          <w:szCs w:val="24"/>
        </w:rPr>
        <w:t xml:space="preserve"> - </w:t>
      </w:r>
      <w:r w:rsidR="0012348A" w:rsidRPr="0012348A">
        <w:rPr>
          <w:sz w:val="22"/>
          <w:szCs w:val="22"/>
        </w:rPr>
        <w:t xml:space="preserve"> Elaborado pelos autores</w:t>
      </w:r>
      <w:r w:rsidR="0017447C">
        <w:rPr>
          <w:sz w:val="22"/>
          <w:szCs w:val="22"/>
        </w:rPr>
        <w:t>.</w:t>
      </w:r>
    </w:p>
    <w:p w14:paraId="402255EC" w14:textId="77777777" w:rsidR="0012348A" w:rsidRPr="00A63886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 w:rsidRPr="00A63886">
        <w:rPr>
          <w:sz w:val="24"/>
          <w:szCs w:val="24"/>
        </w:rPr>
        <w:t>O IDHM é um indicador composto que agrega três dimensões do desenvolvimento humano: a oportunidade de viver uma vida longa e saudável, de ter acesso ao conhecimento e ter um padrão de vida que garanta as necessidades básicas, representadas pela saúde, educação e renda. Seu parâmetro varia de 0 a 1 e quanto mais próximo de 1, maior o desenvolvimento humano da região analisada.</w:t>
      </w:r>
    </w:p>
    <w:p w14:paraId="00471462" w14:textId="7A4B095E" w:rsidR="0012348A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 w:rsidRPr="00A63886">
        <w:rPr>
          <w:sz w:val="24"/>
          <w:szCs w:val="24"/>
        </w:rPr>
        <w:t xml:space="preserve">Nos dados apresentados, é possível observamos um crescimento em Araruna de 60,36% entre os anos de 1991 e 2020. Apesar de Engenheiro Beltrão apresentar o número mais próximo a 1, sendo ele 0.73, cresceu cerca de 49.2% de 1991 a 2010, já Terra Boa apresentou uma variação de 53.4% entre os anos de 1991 e 2010, além de ser o segundo número mais próximo de 1 dentre os municípios considerados, em 2010 </w:t>
      </w:r>
      <w:r>
        <w:rPr>
          <w:sz w:val="24"/>
          <w:szCs w:val="24"/>
        </w:rPr>
        <w:t>um desenvolvimento</w:t>
      </w:r>
      <w:r w:rsidRPr="00A63886">
        <w:rPr>
          <w:sz w:val="24"/>
          <w:szCs w:val="24"/>
        </w:rPr>
        <w:t xml:space="preserve"> cerca de 0.728 bem próximo ao número </w:t>
      </w:r>
      <w:r>
        <w:rPr>
          <w:sz w:val="24"/>
          <w:szCs w:val="24"/>
        </w:rPr>
        <w:t>desenvolvido</w:t>
      </w:r>
      <w:r w:rsidRPr="00A63886">
        <w:rPr>
          <w:sz w:val="24"/>
          <w:szCs w:val="24"/>
        </w:rPr>
        <w:t xml:space="preserve"> por Engenheiro Beltrão. Em suma, os municípios só apresentaram crescimento de IDHM dentre os anos apresentados. Já o Estado do Paraná </w:t>
      </w:r>
      <w:r w:rsidR="00416147">
        <w:rPr>
          <w:sz w:val="24"/>
          <w:szCs w:val="24"/>
        </w:rPr>
        <w:t xml:space="preserve">em média, </w:t>
      </w:r>
      <w:r w:rsidRPr="00A63886">
        <w:rPr>
          <w:sz w:val="24"/>
          <w:szCs w:val="24"/>
        </w:rPr>
        <w:t>alavancou um crescimento de 48% de 1991 a 2010, mas apresentou um número de desenvolvimento bem próximo aos dos municípios citados anteriormente, resultou em um índice de 0.749.</w:t>
      </w:r>
    </w:p>
    <w:p w14:paraId="41E59851" w14:textId="77777777" w:rsidR="0012348A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Percebe-se que os três municípios estão abaixo da média do Estado.</w:t>
      </w:r>
    </w:p>
    <w:p w14:paraId="2011356B" w14:textId="77777777" w:rsidR="0012348A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efeito comparativo em cada item analisado será feito um ranking entre os municípios e somados ao final.</w:t>
      </w:r>
    </w:p>
    <w:p w14:paraId="4F3B1180" w14:textId="77777777" w:rsidR="0012348A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Nessa primeira avaliação em termos de evolução de melhora e IDH atual tem-se Araruna primeiro e terceiro colocado respectivamente, Engenheiro Beltrão terceiro e primeiro respectivamente e Terra Boa segundo colocado nas duas análises. </w:t>
      </w:r>
    </w:p>
    <w:p w14:paraId="6BCCFCE1" w14:textId="2BB353B6" w:rsidR="0012348A" w:rsidRDefault="0012348A" w:rsidP="00123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do índice IDHM considerando o fator educação e a qualidade da mesma, também foi observado dados percentuais de pessoas acima de 18 anos que completaram o ensino </w:t>
      </w:r>
      <w:r>
        <w:rPr>
          <w:sz w:val="24"/>
          <w:szCs w:val="24"/>
        </w:rPr>
        <w:lastRenderedPageBreak/>
        <w:t>fundamental e porcentagem de pessoas de 25 anos, que completaram o ensino superior, a fim de se verificar se os municípios avançam proporcionalmente tanto com o ensino fundamental completo quanto no superior completo.</w:t>
      </w:r>
    </w:p>
    <w:p w14:paraId="638F8466" w14:textId="5D193741" w:rsidR="00F50FF6" w:rsidRPr="00515119" w:rsidRDefault="00F50FF6" w:rsidP="00F50F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Segue-se com a Tabela 2 com o comparativo percentual de 18 anos com fundamental completo e 25 com ensino superior completo. </w:t>
      </w:r>
    </w:p>
    <w:p w14:paraId="738D7146" w14:textId="2B69B1D9" w:rsidR="001E7A6B" w:rsidRDefault="001E7A6B" w:rsidP="0012348A">
      <w:pPr>
        <w:spacing w:line="360" w:lineRule="auto"/>
        <w:ind w:firstLine="709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Tabela </w:t>
      </w:r>
      <w:r w:rsidR="001256D4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– Comparativo percentual de 18 anos com fundamental completo e 25 anos com ensino superior completo</w:t>
      </w:r>
      <w:r w:rsidR="006C612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tbl>
      <w:tblPr>
        <w:tblW w:w="8808" w:type="dxa"/>
        <w:tblLook w:val="04A0" w:firstRow="1" w:lastRow="0" w:firstColumn="1" w:lastColumn="0" w:noHBand="0" w:noVBand="1"/>
      </w:tblPr>
      <w:tblGrid>
        <w:gridCol w:w="1595"/>
        <w:gridCol w:w="1227"/>
        <w:gridCol w:w="1226"/>
        <w:gridCol w:w="1228"/>
        <w:gridCol w:w="1106"/>
        <w:gridCol w:w="1106"/>
        <w:gridCol w:w="1320"/>
      </w:tblGrid>
      <w:tr w:rsidR="001E7A6B" w:rsidRPr="00351B94" w14:paraId="64E38E4E" w14:textId="77777777" w:rsidTr="00642E85">
        <w:trPr>
          <w:trHeight w:val="2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8BFC" w14:textId="77777777" w:rsidR="001E7A6B" w:rsidRPr="00CD0CC7" w:rsidRDefault="001E7A6B" w:rsidP="00BD32CD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4E9F845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FFFFFF"/>
              </w:rPr>
            </w:pPr>
            <w:r w:rsidRPr="00CD0CC7">
              <w:rPr>
                <w:rFonts w:ascii="Calibri" w:hAnsi="Calibri" w:cs="Calibri"/>
                <w:color w:val="FFFFFF"/>
              </w:rPr>
              <w:t>% de 18 anos ou mais de idade com ensino fundamental completo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EE651F8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FFFFFF"/>
              </w:rPr>
            </w:pPr>
            <w:r w:rsidRPr="00CD0CC7">
              <w:rPr>
                <w:rFonts w:ascii="Calibri" w:hAnsi="Calibri" w:cs="Calibri"/>
                <w:color w:val="FFFFFF"/>
              </w:rPr>
              <w:t>% de 25 anos ou mais de idade com ensino superior completo</w:t>
            </w:r>
          </w:p>
        </w:tc>
      </w:tr>
      <w:tr w:rsidR="001E7A6B" w:rsidRPr="00CD0CC7" w14:paraId="15C50068" w14:textId="77777777" w:rsidTr="00642E85">
        <w:trPr>
          <w:trHeight w:val="276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FE1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Territorialidades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08A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1991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1A5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3AB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0F6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1991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F0A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C05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0CC7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</w:tr>
      <w:tr w:rsidR="001E7A6B" w:rsidRPr="00CD0CC7" w14:paraId="699968E7" w14:textId="77777777" w:rsidTr="00642E85">
        <w:trPr>
          <w:trHeight w:val="2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189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Paraná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0BF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29.11%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045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41.95%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B96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55.53%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F22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5.53%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CCC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7.03%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1BC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12.75%</w:t>
            </w:r>
          </w:p>
        </w:tc>
      </w:tr>
      <w:tr w:rsidR="001E7A6B" w:rsidRPr="00CD0CC7" w14:paraId="4B43C3DE" w14:textId="77777777" w:rsidTr="00642E85">
        <w:trPr>
          <w:trHeight w:val="2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D6E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Araruna (PR)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3EF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19.91%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2E6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30.66%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AAF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44.64%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034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1.73%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28F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2.49%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F5C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5.67%</w:t>
            </w:r>
          </w:p>
        </w:tc>
      </w:tr>
      <w:tr w:rsidR="001E7A6B" w:rsidRPr="00CD0CC7" w14:paraId="7CA45DA3" w14:textId="77777777" w:rsidTr="00642E85">
        <w:trPr>
          <w:trHeight w:val="2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560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Engenheiro Beltrão (PR)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F2AA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22.88%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45D7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39.60%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108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50.85%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D746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3.30%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A54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4.65%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073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7.50%</w:t>
            </w:r>
          </w:p>
        </w:tc>
      </w:tr>
      <w:tr w:rsidR="001E7A6B" w:rsidRPr="00CD0CC7" w14:paraId="0E4107E4" w14:textId="77777777" w:rsidTr="00642E85">
        <w:trPr>
          <w:trHeight w:val="26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974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Terra Boa (PR)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F12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19.50%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68A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31.46%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464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46.02%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EB3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2.84%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1EF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3.57%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D8D" w14:textId="77777777" w:rsidR="001E7A6B" w:rsidRPr="00CD0CC7" w:rsidRDefault="001E7A6B" w:rsidP="00BD32CD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CC7">
              <w:rPr>
                <w:rFonts w:ascii="Calibri" w:hAnsi="Calibri" w:cs="Calibri"/>
                <w:color w:val="000000"/>
              </w:rPr>
              <w:t>5.28%</w:t>
            </w:r>
          </w:p>
        </w:tc>
      </w:tr>
    </w:tbl>
    <w:p w14:paraId="4A46DDE3" w14:textId="77777777" w:rsidR="001E7A6B" w:rsidRPr="002F300E" w:rsidRDefault="001E7A6B" w:rsidP="001E7A6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BB3804" w14:textId="4EA58794" w:rsidR="001E7A6B" w:rsidRPr="00642E85" w:rsidRDefault="001E7A6B" w:rsidP="00205287">
      <w:pPr>
        <w:jc w:val="both"/>
        <w:rPr>
          <w:sz w:val="22"/>
          <w:szCs w:val="22"/>
        </w:rPr>
      </w:pPr>
      <w:r w:rsidRPr="00642E85">
        <w:rPr>
          <w:sz w:val="22"/>
          <w:szCs w:val="22"/>
        </w:rPr>
        <w:t xml:space="preserve">Fonte: Atlas do Desenvolvimento Humano no Brasil. </w:t>
      </w:r>
      <w:proofErr w:type="spellStart"/>
      <w:r w:rsidRPr="00642E85">
        <w:rPr>
          <w:sz w:val="22"/>
          <w:szCs w:val="22"/>
        </w:rPr>
        <w:t>Pnud</w:t>
      </w:r>
      <w:proofErr w:type="spellEnd"/>
      <w:r w:rsidRPr="00642E85">
        <w:rPr>
          <w:sz w:val="22"/>
          <w:szCs w:val="22"/>
        </w:rPr>
        <w:t xml:space="preserve"> Brasil, Ipea e FJP (2020)</w:t>
      </w:r>
      <w:r w:rsidR="00642E85" w:rsidRPr="00642E85">
        <w:rPr>
          <w:sz w:val="22"/>
          <w:szCs w:val="22"/>
        </w:rPr>
        <w:t xml:space="preserve"> – Elaborado pelos autores.</w:t>
      </w:r>
    </w:p>
    <w:p w14:paraId="09A26AA8" w14:textId="12D24B6D" w:rsidR="00642E85" w:rsidRDefault="001E7A6B" w:rsidP="00642E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42E85">
        <w:rPr>
          <w:sz w:val="24"/>
          <w:szCs w:val="24"/>
        </w:rPr>
        <w:t xml:space="preserve">Com esses dados é possível observarmos que apesar do percentual de pessoas com 18 anos ou mais que completaram o ensino </w:t>
      </w:r>
      <w:r w:rsidR="00420E81" w:rsidRPr="00642E85">
        <w:rPr>
          <w:sz w:val="24"/>
          <w:szCs w:val="24"/>
        </w:rPr>
        <w:t>fundamental completo</w:t>
      </w:r>
      <w:r w:rsidRPr="00642E85">
        <w:rPr>
          <w:sz w:val="24"/>
          <w:szCs w:val="24"/>
        </w:rPr>
        <w:t xml:space="preserve"> teve um aumento significativo, </w:t>
      </w:r>
      <w:r w:rsidR="00420E81" w:rsidRPr="00642E85">
        <w:rPr>
          <w:sz w:val="24"/>
          <w:szCs w:val="24"/>
        </w:rPr>
        <w:t xml:space="preserve">mas </w:t>
      </w:r>
      <w:r w:rsidRPr="00642E85">
        <w:rPr>
          <w:sz w:val="24"/>
          <w:szCs w:val="24"/>
        </w:rPr>
        <w:t>essas mesmas pessoas</w:t>
      </w:r>
      <w:r w:rsidR="006C6124">
        <w:rPr>
          <w:sz w:val="24"/>
          <w:szCs w:val="24"/>
        </w:rPr>
        <w:t xml:space="preserve"> em períodos posteriores parecem</w:t>
      </w:r>
      <w:r w:rsidRPr="00642E85">
        <w:rPr>
          <w:sz w:val="24"/>
          <w:szCs w:val="24"/>
        </w:rPr>
        <w:t xml:space="preserve"> não t</w:t>
      </w:r>
      <w:r w:rsidR="006C6124">
        <w:rPr>
          <w:sz w:val="24"/>
          <w:szCs w:val="24"/>
        </w:rPr>
        <w:t>er</w:t>
      </w:r>
      <w:r w:rsidRPr="00642E85">
        <w:rPr>
          <w:sz w:val="24"/>
          <w:szCs w:val="24"/>
        </w:rPr>
        <w:t xml:space="preserve"> ingressado no ensino superior. </w:t>
      </w:r>
      <w:r w:rsidR="00642E85" w:rsidRPr="00515119">
        <w:rPr>
          <w:sz w:val="24"/>
          <w:szCs w:val="24"/>
        </w:rPr>
        <w:t xml:space="preserve">De 1991 a 2010 o </w:t>
      </w:r>
      <w:r w:rsidR="00D31B07">
        <w:rPr>
          <w:sz w:val="24"/>
          <w:szCs w:val="24"/>
        </w:rPr>
        <w:t>E</w:t>
      </w:r>
      <w:r w:rsidR="00642E85" w:rsidRPr="00515119">
        <w:rPr>
          <w:sz w:val="24"/>
          <w:szCs w:val="24"/>
        </w:rPr>
        <w:t xml:space="preserve">stado do Paraná avançou cerca de 91% de pessoas com 18 anos ou mais completando o ensino fundamental completo e os municípios de Araruna, Engenheiro Beltrão e Terra Boa que cresceram, respectivamente 124%, 122% e 136%. Mas quando observamos o percentual de ensino superior notamos uma proporção bem menor, muito justificada por serem municípios que não possuem universidades instaladas, entretanto observamos um aumento </w:t>
      </w:r>
      <w:r w:rsidR="00642E85">
        <w:rPr>
          <w:sz w:val="24"/>
          <w:szCs w:val="24"/>
        </w:rPr>
        <w:t>no</w:t>
      </w:r>
      <w:r w:rsidR="00642E85" w:rsidRPr="00515119">
        <w:rPr>
          <w:sz w:val="24"/>
          <w:szCs w:val="24"/>
        </w:rPr>
        <w:t xml:space="preserve"> ano de 1991, destaca-se o aumento de </w:t>
      </w:r>
      <w:r w:rsidR="00642E85" w:rsidRPr="00515119">
        <w:rPr>
          <w:color w:val="000000"/>
          <w:sz w:val="24"/>
          <w:szCs w:val="24"/>
        </w:rPr>
        <w:t>228% no município de Araruna.</w:t>
      </w:r>
    </w:p>
    <w:p w14:paraId="36E27697" w14:textId="77777777" w:rsidR="00642E85" w:rsidRDefault="00642E85" w:rsidP="00642E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Percebe-se que nos dois itens avaliados, os três municípios estão abaixo da média no Estado.   </w:t>
      </w:r>
    </w:p>
    <w:p w14:paraId="7FB62863" w14:textId="77777777" w:rsidR="00F5427A" w:rsidRDefault="00642E85" w:rsidP="00642E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Aqui dar-se-á simultaneamente ranking em três categorias, evolução de ensino fundamental, ensino fundamental atual e nível superior atual. Araruna fica em segundo, terceiro e segundo novamente respectivamente. Engenheiro Beltrão fica em segundo e em primeiro e em primeiro respectivamente. E finalmente Terra Boa fica respectivamente em primeiro, segundo e terceiro.  </w:t>
      </w:r>
    </w:p>
    <w:p w14:paraId="0EC45667" w14:textId="5EB29B14" w:rsidR="00F5427A" w:rsidRPr="00515119" w:rsidRDefault="00F5427A" w:rsidP="00F5427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sequência, segue a apresentação e análise da</w:t>
      </w:r>
      <w:r w:rsidRPr="00515119">
        <w:rPr>
          <w:color w:val="000000"/>
          <w:sz w:val="24"/>
          <w:szCs w:val="24"/>
        </w:rPr>
        <w:t xml:space="preserve"> renda per capita</w:t>
      </w:r>
      <w:r>
        <w:rPr>
          <w:color w:val="000000"/>
          <w:sz w:val="24"/>
          <w:szCs w:val="24"/>
        </w:rPr>
        <w:t xml:space="preserve"> que</w:t>
      </w:r>
      <w:r w:rsidRPr="00515119">
        <w:rPr>
          <w:color w:val="000000"/>
          <w:sz w:val="24"/>
          <w:szCs w:val="24"/>
        </w:rPr>
        <w:t xml:space="preserve"> é um indicador importante para o desenvolvimento de uma região, já que conceitualmente é o cálculo da renda </w:t>
      </w:r>
      <w:r w:rsidRPr="00515119">
        <w:rPr>
          <w:color w:val="000000"/>
          <w:sz w:val="24"/>
          <w:szCs w:val="24"/>
        </w:rPr>
        <w:lastRenderedPageBreak/>
        <w:t>total da área dividido pela sua população total</w:t>
      </w:r>
      <w:r>
        <w:rPr>
          <w:color w:val="000000"/>
          <w:sz w:val="24"/>
          <w:szCs w:val="24"/>
        </w:rPr>
        <w:t xml:space="preserve">, por meio da Tabela 3 – Renda Per Capita e </w:t>
      </w:r>
      <w:r w:rsidR="009731CE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ráfico </w:t>
      </w:r>
      <w:r w:rsidR="00C0644B">
        <w:rPr>
          <w:color w:val="000000"/>
          <w:sz w:val="24"/>
          <w:szCs w:val="24"/>
        </w:rPr>
        <w:t xml:space="preserve">2 correspondentes aos dados da referida tabela.  </w:t>
      </w:r>
      <w:r>
        <w:rPr>
          <w:color w:val="000000"/>
          <w:sz w:val="24"/>
          <w:szCs w:val="24"/>
        </w:rPr>
        <w:t xml:space="preserve"> </w:t>
      </w:r>
    </w:p>
    <w:p w14:paraId="28EC443E" w14:textId="0A385DA5" w:rsidR="00642E85" w:rsidRDefault="00642E85" w:rsidP="00642E8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DAD55F7" w14:textId="72BAF6FE" w:rsidR="00281F84" w:rsidRPr="00A55B3D" w:rsidRDefault="00281F84" w:rsidP="00642E85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Tabela</w:t>
      </w:r>
      <w:r w:rsidRPr="00A55B3D">
        <w:rPr>
          <w:b/>
          <w:bCs/>
          <w:color w:val="000000"/>
          <w:sz w:val="24"/>
          <w:szCs w:val="24"/>
        </w:rPr>
        <w:t xml:space="preserve"> </w:t>
      </w:r>
      <w:r w:rsidR="001256D4">
        <w:rPr>
          <w:b/>
          <w:bCs/>
          <w:color w:val="000000"/>
          <w:sz w:val="24"/>
          <w:szCs w:val="24"/>
        </w:rPr>
        <w:t>3</w:t>
      </w:r>
      <w:r w:rsidRPr="00A55B3D">
        <w:rPr>
          <w:b/>
          <w:bCs/>
          <w:color w:val="000000"/>
          <w:sz w:val="24"/>
          <w:szCs w:val="24"/>
        </w:rPr>
        <w:t xml:space="preserve"> - Renda Per Capita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907"/>
        <w:gridCol w:w="1674"/>
        <w:gridCol w:w="1674"/>
        <w:gridCol w:w="1676"/>
      </w:tblGrid>
      <w:tr w:rsidR="00281F84" w:rsidRPr="00281F84" w14:paraId="6685ACED" w14:textId="77777777" w:rsidTr="00281F84">
        <w:trPr>
          <w:trHeight w:val="27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BF4" w14:textId="77777777" w:rsidR="00281F84" w:rsidRPr="00281F84" w:rsidRDefault="00281F84" w:rsidP="00281F84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1A23B28E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US" w:eastAsia="en-US"/>
              </w:rPr>
            </w:pPr>
            <w:proofErr w:type="spellStart"/>
            <w:r w:rsidRPr="00281F8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US" w:eastAsia="en-US"/>
              </w:rPr>
              <w:t>Renda</w:t>
            </w:r>
            <w:proofErr w:type="spellEnd"/>
            <w:r w:rsidRPr="00281F8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en-US" w:eastAsia="en-US"/>
              </w:rPr>
              <w:t xml:space="preserve"> per capita</w:t>
            </w:r>
          </w:p>
        </w:tc>
      </w:tr>
      <w:tr w:rsidR="00281F84" w:rsidRPr="00281F84" w14:paraId="5F1EF5FE" w14:textId="77777777" w:rsidTr="00281F84">
        <w:trPr>
          <w:trHeight w:val="29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AE8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81F8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Territorialidades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4F5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1991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A33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2000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680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2010</w:t>
            </w:r>
          </w:p>
        </w:tc>
      </w:tr>
      <w:tr w:rsidR="00281F84" w:rsidRPr="00281F84" w14:paraId="5152876A" w14:textId="77777777" w:rsidTr="00281F84">
        <w:trPr>
          <w:trHeight w:val="27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1A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Paraná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483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439.09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E26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638.27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9B9C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890.89</w:t>
            </w:r>
          </w:p>
        </w:tc>
      </w:tr>
      <w:tr w:rsidR="00281F84" w:rsidRPr="00281F84" w14:paraId="129C25E8" w14:textId="77777777" w:rsidTr="00281F84">
        <w:trPr>
          <w:trHeight w:val="27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BE1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Araruna</w:t>
            </w:r>
            <w:proofErr w:type="spellEnd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 (PR)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6CB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214.67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D7C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370.52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951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566.78</w:t>
            </w:r>
          </w:p>
        </w:tc>
      </w:tr>
      <w:tr w:rsidR="00281F84" w:rsidRPr="00281F84" w14:paraId="112F4E66" w14:textId="77777777" w:rsidTr="00281F84">
        <w:trPr>
          <w:trHeight w:val="27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1B8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Engenheiro</w:t>
            </w:r>
            <w:proofErr w:type="spellEnd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Beltrão</w:t>
            </w:r>
            <w:proofErr w:type="spellEnd"/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 (PR)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F84F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279.65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579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522.83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455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629.05</w:t>
            </w:r>
          </w:p>
        </w:tc>
      </w:tr>
      <w:tr w:rsidR="00281F84" w:rsidRPr="00281F84" w14:paraId="72B216C9" w14:textId="77777777" w:rsidTr="00281F84">
        <w:trPr>
          <w:trHeight w:val="27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766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Terra Boa (PR)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4AC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244.39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A48C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382.7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56F" w14:textId="77777777" w:rsidR="00281F84" w:rsidRPr="00281F84" w:rsidRDefault="00281F84" w:rsidP="00281F8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281F8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653.34</w:t>
            </w:r>
          </w:p>
        </w:tc>
      </w:tr>
    </w:tbl>
    <w:p w14:paraId="343FDA66" w14:textId="16B2B167" w:rsidR="00281F84" w:rsidRPr="0040381D" w:rsidRDefault="00281F84" w:rsidP="00281F84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40381D">
        <w:rPr>
          <w:color w:val="000000"/>
          <w:sz w:val="22"/>
          <w:szCs w:val="22"/>
        </w:rPr>
        <w:t>Fonte: Atlas (2022)</w:t>
      </w:r>
      <w:r w:rsidR="0040381D" w:rsidRPr="0040381D">
        <w:rPr>
          <w:color w:val="000000"/>
          <w:sz w:val="22"/>
          <w:szCs w:val="22"/>
        </w:rPr>
        <w:t xml:space="preserve"> – Elaborado pelos autores</w:t>
      </w:r>
      <w:r w:rsidR="0040381D">
        <w:rPr>
          <w:color w:val="000000"/>
          <w:sz w:val="22"/>
          <w:szCs w:val="22"/>
        </w:rPr>
        <w:t>.</w:t>
      </w:r>
    </w:p>
    <w:p w14:paraId="1A8D27E2" w14:textId="77777777" w:rsidR="00281F84" w:rsidRPr="00515119" w:rsidRDefault="00281F84" w:rsidP="001E7A6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094E85B" w14:textId="77777777" w:rsidR="001E7A6B" w:rsidRPr="00A55B3D" w:rsidRDefault="001E7A6B" w:rsidP="001E7A6B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A55B3D">
        <w:rPr>
          <w:b/>
          <w:bCs/>
          <w:color w:val="000000"/>
          <w:sz w:val="24"/>
          <w:szCs w:val="24"/>
        </w:rPr>
        <w:t>Gráfico 2 - Renda Per Capita</w:t>
      </w:r>
    </w:p>
    <w:p w14:paraId="3BA2A14F" w14:textId="77777777" w:rsidR="001E7A6B" w:rsidRPr="00515119" w:rsidRDefault="001E7A6B" w:rsidP="001E7A6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15119">
        <w:rPr>
          <w:noProof/>
          <w:sz w:val="24"/>
          <w:szCs w:val="24"/>
        </w:rPr>
        <w:drawing>
          <wp:inline distT="0" distB="0" distL="0" distR="0" wp14:anchorId="24EA87FB" wp14:editId="546F77AE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9F3421-B253-79AE-18C3-F45C189E60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131AA7" w14:textId="77FF42CD" w:rsidR="001E7A6B" w:rsidRPr="0040381D" w:rsidRDefault="001E7A6B" w:rsidP="001E7A6B">
      <w:pPr>
        <w:spacing w:line="360" w:lineRule="auto"/>
        <w:ind w:firstLine="709"/>
        <w:jc w:val="both"/>
        <w:rPr>
          <w:sz w:val="24"/>
          <w:szCs w:val="24"/>
        </w:rPr>
      </w:pPr>
      <w:r w:rsidRPr="0040381D">
        <w:rPr>
          <w:sz w:val="24"/>
          <w:szCs w:val="24"/>
        </w:rPr>
        <w:t>Fonte: Atlas (2022)</w:t>
      </w:r>
      <w:r w:rsidR="0040381D" w:rsidRPr="0040381D">
        <w:rPr>
          <w:sz w:val="24"/>
          <w:szCs w:val="24"/>
        </w:rPr>
        <w:t xml:space="preserve"> – Elaborado pelos autores.</w:t>
      </w:r>
    </w:p>
    <w:p w14:paraId="0AE909E1" w14:textId="77777777" w:rsidR="0040381D" w:rsidRPr="00515119" w:rsidRDefault="0040381D" w:rsidP="0040381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15119">
        <w:rPr>
          <w:color w:val="000000"/>
          <w:sz w:val="24"/>
          <w:szCs w:val="24"/>
        </w:rPr>
        <w:t xml:space="preserve">Nos dados analisados em de 1991 a 2010 o </w:t>
      </w:r>
      <w:r>
        <w:rPr>
          <w:color w:val="000000"/>
          <w:sz w:val="24"/>
          <w:szCs w:val="24"/>
        </w:rPr>
        <w:t>E</w:t>
      </w:r>
      <w:r w:rsidRPr="00515119">
        <w:rPr>
          <w:color w:val="000000"/>
          <w:sz w:val="24"/>
          <w:szCs w:val="24"/>
        </w:rPr>
        <w:t>stado do Paraná alavancou cerca de 103% de crescimento de renda, observando apenas os municípios Terra Boa, apesar de ter a menor porcentagem de habitantes no ensino superior completo, como mostrado acima, apresentou em 2010</w:t>
      </w:r>
      <w:r>
        <w:rPr>
          <w:color w:val="000000"/>
          <w:sz w:val="24"/>
          <w:szCs w:val="24"/>
        </w:rPr>
        <w:t>,</w:t>
      </w:r>
      <w:r w:rsidRPr="00515119">
        <w:rPr>
          <w:color w:val="000000"/>
          <w:sz w:val="24"/>
          <w:szCs w:val="24"/>
        </w:rPr>
        <w:t xml:space="preserve"> o maior número de renda per capita dentre os municípios analisados, além de crescer cerca de 167% de 1991 a 2010. </w:t>
      </w:r>
    </w:p>
    <w:p w14:paraId="292CC592" w14:textId="07E9EC8F" w:rsidR="0040381D" w:rsidRDefault="0040381D" w:rsidP="0040381D">
      <w:pPr>
        <w:spacing w:line="360" w:lineRule="auto"/>
        <w:ind w:firstLine="709"/>
        <w:jc w:val="both"/>
        <w:rPr>
          <w:sz w:val="24"/>
          <w:szCs w:val="24"/>
        </w:rPr>
      </w:pPr>
      <w:r w:rsidRPr="00515119">
        <w:rPr>
          <w:color w:val="000000"/>
          <w:sz w:val="24"/>
          <w:szCs w:val="24"/>
        </w:rPr>
        <w:t>Os</w:t>
      </w:r>
      <w:r w:rsidR="008D34C5">
        <w:rPr>
          <w:color w:val="000000"/>
          <w:sz w:val="24"/>
          <w:szCs w:val="24"/>
        </w:rPr>
        <w:t xml:space="preserve"> três</w:t>
      </w:r>
      <w:r w:rsidRPr="00515119">
        <w:rPr>
          <w:color w:val="000000"/>
          <w:sz w:val="24"/>
          <w:szCs w:val="24"/>
        </w:rPr>
        <w:t xml:space="preserve"> municípios apresentaram um resultado, em média de 45%, abaixo da renda per capita </w:t>
      </w:r>
      <w:r>
        <w:rPr>
          <w:color w:val="000000"/>
          <w:sz w:val="24"/>
          <w:szCs w:val="24"/>
        </w:rPr>
        <w:t>encontrada na média do</w:t>
      </w:r>
      <w:r w:rsidRPr="005151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Pr="00515119">
        <w:rPr>
          <w:color w:val="000000"/>
          <w:sz w:val="24"/>
          <w:szCs w:val="24"/>
        </w:rPr>
        <w:t xml:space="preserve">stado do Paraná. O município de Araruna em 2010 resultou na menor renda per capita estando </w:t>
      </w:r>
      <w:r w:rsidRPr="00CE5170">
        <w:rPr>
          <w:sz w:val="24"/>
          <w:szCs w:val="24"/>
        </w:rPr>
        <w:t>57% abaixo do Estado.</w:t>
      </w:r>
    </w:p>
    <w:p w14:paraId="35A43ACC" w14:textId="77777777" w:rsidR="0040381D" w:rsidRDefault="0040381D" w:rsidP="004038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Aqui vai ser analisado comparativamente o ranking em termos de renda per capita atual. Pelo gráfico percebe-se Terra Boa em primeiro, Engenheiro Beltrão em segundo e finalmente Araruna em terceiro.   </w:t>
      </w:r>
    </w:p>
    <w:p w14:paraId="7FC62A7E" w14:textId="77777777" w:rsidR="00205287" w:rsidRDefault="00205287" w:rsidP="002052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Na sequência será analisado o valor adicionado per capita que segundo </w:t>
      </w:r>
      <w:r w:rsidRPr="00C330C0">
        <w:rPr>
          <w:color w:val="000000"/>
          <w:sz w:val="24"/>
          <w:szCs w:val="24"/>
        </w:rPr>
        <w:t xml:space="preserve">MIRANDA et al., </w:t>
      </w:r>
      <w:r>
        <w:rPr>
          <w:color w:val="000000"/>
          <w:sz w:val="24"/>
          <w:szCs w:val="24"/>
        </w:rPr>
        <w:t>(</w:t>
      </w:r>
      <w:r w:rsidRPr="00C330C0">
        <w:rPr>
          <w:color w:val="000000"/>
          <w:sz w:val="24"/>
          <w:szCs w:val="24"/>
        </w:rPr>
        <w:t>2002)</w:t>
      </w:r>
      <w:r>
        <w:rPr>
          <w:color w:val="000000"/>
          <w:sz w:val="24"/>
          <w:szCs w:val="24"/>
        </w:rPr>
        <w:t xml:space="preserve">, onde conceitualmente na </w:t>
      </w:r>
      <w:r w:rsidRPr="00C330C0">
        <w:rPr>
          <w:color w:val="000000"/>
          <w:sz w:val="24"/>
          <w:szCs w:val="24"/>
        </w:rPr>
        <w:t xml:space="preserve">economia </w:t>
      </w:r>
      <w:r>
        <w:rPr>
          <w:color w:val="000000"/>
          <w:sz w:val="24"/>
          <w:szCs w:val="24"/>
        </w:rPr>
        <w:t>o</w:t>
      </w:r>
      <w:r w:rsidRPr="00C330C0">
        <w:rPr>
          <w:color w:val="000000"/>
          <w:sz w:val="24"/>
          <w:szCs w:val="24"/>
        </w:rPr>
        <w:t xml:space="preserve"> valor adicionado é mensurado pelas atividades econômicas de uma nação através de seu Produto Nacional, em suma, quando tratamos de valor adicionado per capita temos o quanto cada empregado contribui para formação de uma riqueza</w:t>
      </w:r>
      <w:r>
        <w:rPr>
          <w:color w:val="000000"/>
          <w:sz w:val="24"/>
          <w:szCs w:val="24"/>
        </w:rPr>
        <w:t>.</w:t>
      </w:r>
      <w:r w:rsidRPr="00C330C0">
        <w:rPr>
          <w:color w:val="000000"/>
          <w:sz w:val="24"/>
          <w:szCs w:val="24"/>
        </w:rPr>
        <w:t xml:space="preserve"> </w:t>
      </w:r>
    </w:p>
    <w:p w14:paraId="705928EB" w14:textId="77777777" w:rsidR="00205287" w:rsidRDefault="00205287" w:rsidP="002052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Através de dados </w:t>
      </w:r>
      <w:r w:rsidRPr="00FA5A87">
        <w:rPr>
          <w:color w:val="000000"/>
          <w:sz w:val="24"/>
          <w:szCs w:val="24"/>
        </w:rPr>
        <w:t>Relação Anual de Informações Sociais – RAIS, temos uma coletânea de dados mais recentes</w:t>
      </w:r>
      <w:r>
        <w:rPr>
          <w:color w:val="000000"/>
          <w:sz w:val="24"/>
          <w:szCs w:val="24"/>
        </w:rPr>
        <w:t>.</w:t>
      </w:r>
      <w:r w:rsidRPr="00FA5A87">
        <w:rPr>
          <w:color w:val="000000"/>
          <w:sz w:val="24"/>
          <w:szCs w:val="24"/>
        </w:rPr>
        <w:t xml:space="preserve"> </w:t>
      </w:r>
    </w:p>
    <w:p w14:paraId="49DE8440" w14:textId="2F3D8770" w:rsidR="00205287" w:rsidRPr="00FA5A87" w:rsidRDefault="00205287" w:rsidP="002052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Segue apresentação da Tabela 4 Valor Adicionado Per Capita e análise do </w:t>
      </w:r>
      <w:r w:rsidR="009731CE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ráfico 3 – Valor Adicionado Per Capita.</w:t>
      </w:r>
    </w:p>
    <w:p w14:paraId="1A26D24E" w14:textId="4F4A9B03" w:rsidR="001256D4" w:rsidRPr="004A74B1" w:rsidRDefault="001256D4" w:rsidP="001256D4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Tabela 4</w:t>
      </w:r>
      <w:r w:rsidRPr="004A74B1">
        <w:rPr>
          <w:b/>
          <w:bCs/>
          <w:color w:val="000000"/>
          <w:sz w:val="24"/>
          <w:szCs w:val="24"/>
        </w:rPr>
        <w:t xml:space="preserve"> – Valor Adicionado Per Capita</w:t>
      </w:r>
    </w:p>
    <w:p w14:paraId="4312F781" w14:textId="37ED0007" w:rsidR="001256D4" w:rsidRDefault="001256D4" w:rsidP="00C330C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8791" w:type="dxa"/>
        <w:tblInd w:w="108" w:type="dxa"/>
        <w:tblLook w:val="04A0" w:firstRow="1" w:lastRow="0" w:firstColumn="1" w:lastColumn="0" w:noHBand="0" w:noVBand="1"/>
      </w:tblPr>
      <w:tblGrid>
        <w:gridCol w:w="3364"/>
        <w:gridCol w:w="1356"/>
        <w:gridCol w:w="1356"/>
        <w:gridCol w:w="1356"/>
        <w:gridCol w:w="1359"/>
      </w:tblGrid>
      <w:tr w:rsidR="001256D4" w:rsidRPr="001256D4" w14:paraId="3ED22AE6" w14:textId="77777777" w:rsidTr="001256D4">
        <w:trPr>
          <w:trHeight w:val="29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70A" w14:textId="77777777" w:rsidR="001256D4" w:rsidRPr="001256D4" w:rsidRDefault="001256D4" w:rsidP="001256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D5D494F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Valor </w:t>
            </w:r>
            <w:proofErr w:type="spellStart"/>
            <w:r w:rsidRPr="001256D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  <w:t>Adicionado</w:t>
            </w:r>
            <w:proofErr w:type="spellEnd"/>
            <w:r w:rsidRPr="001256D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 per capita</w:t>
            </w:r>
          </w:p>
        </w:tc>
      </w:tr>
      <w:tr w:rsidR="001256D4" w:rsidRPr="001256D4" w14:paraId="1D09CCCB" w14:textId="77777777" w:rsidTr="001256D4">
        <w:trPr>
          <w:trHeight w:val="306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32C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256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Territorialidades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BC0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256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A8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256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3F7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256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10D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256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2016</w:t>
            </w:r>
          </w:p>
        </w:tc>
      </w:tr>
      <w:tr w:rsidR="001256D4" w:rsidRPr="001256D4" w14:paraId="08427BDF" w14:textId="77777777" w:rsidTr="001256D4">
        <w:trPr>
          <w:trHeight w:val="29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CA6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Paraná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8ED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FD8C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F91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35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20.35</w:t>
            </w:r>
          </w:p>
        </w:tc>
      </w:tr>
      <w:tr w:rsidR="001256D4" w:rsidRPr="001256D4" w14:paraId="25A2838B" w14:textId="77777777" w:rsidTr="001256D4">
        <w:trPr>
          <w:trHeight w:val="29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DA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Araruna</w:t>
            </w:r>
            <w:proofErr w:type="spellEnd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(PR)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5D3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0CD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77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B7D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18.38</w:t>
            </w:r>
          </w:p>
        </w:tc>
      </w:tr>
      <w:tr w:rsidR="001256D4" w:rsidRPr="001256D4" w14:paraId="3F54200D" w14:textId="77777777" w:rsidTr="001256D4">
        <w:trPr>
          <w:trHeight w:val="29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9C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Engenheiro</w:t>
            </w:r>
            <w:proofErr w:type="spellEnd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Beltrão</w:t>
            </w:r>
            <w:proofErr w:type="spellEnd"/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(PR)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58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3A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BAA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17.07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C1F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16.67</w:t>
            </w:r>
          </w:p>
        </w:tc>
      </w:tr>
      <w:tr w:rsidR="001256D4" w:rsidRPr="001256D4" w14:paraId="2750F607" w14:textId="77777777" w:rsidTr="001256D4">
        <w:trPr>
          <w:trHeight w:val="29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4CE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Terra Boa (PR)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3C2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9E9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14.43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0B8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ADB" w14:textId="77777777" w:rsidR="001256D4" w:rsidRPr="001256D4" w:rsidRDefault="001256D4" w:rsidP="00125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56D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14.25</w:t>
            </w:r>
          </w:p>
        </w:tc>
      </w:tr>
    </w:tbl>
    <w:p w14:paraId="6F442009" w14:textId="77777777" w:rsidR="001256D4" w:rsidRPr="00FA5A87" w:rsidRDefault="001256D4" w:rsidP="00C330C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AACA95C" w14:textId="38C11AE4" w:rsidR="00FA5A87" w:rsidRPr="004A74B1" w:rsidRDefault="00FA5A87" w:rsidP="00C330C0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A74B1">
        <w:rPr>
          <w:b/>
          <w:bCs/>
          <w:color w:val="000000"/>
          <w:sz w:val="24"/>
          <w:szCs w:val="24"/>
        </w:rPr>
        <w:t>Gráfico 3 – Valor Adicionado Per Capita</w:t>
      </w:r>
    </w:p>
    <w:p w14:paraId="63316FC6" w14:textId="7D06DDFA" w:rsidR="00FA5A87" w:rsidRDefault="00FA5A87" w:rsidP="00C330C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43CDCC" wp14:editId="54A41874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9A40DD5-F8D9-6697-3B4F-F9F0E8E18E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7EBB3B" w14:textId="51445C64" w:rsidR="004A74B1" w:rsidRPr="00205287" w:rsidRDefault="004A74B1" w:rsidP="00205287">
      <w:pPr>
        <w:ind w:firstLine="709"/>
        <w:jc w:val="both"/>
        <w:rPr>
          <w:sz w:val="22"/>
          <w:szCs w:val="22"/>
        </w:rPr>
      </w:pPr>
      <w:r w:rsidRPr="00205287">
        <w:rPr>
          <w:sz w:val="22"/>
          <w:szCs w:val="22"/>
        </w:rPr>
        <w:t>Fonte: RAIS / Elaboração: Atlas do Desenvolvimento Humano no Brasil</w:t>
      </w:r>
      <w:r w:rsidR="00205287" w:rsidRPr="00205287">
        <w:rPr>
          <w:sz w:val="22"/>
          <w:szCs w:val="22"/>
        </w:rPr>
        <w:t xml:space="preserve"> – Elaborado pelos autores. </w:t>
      </w:r>
    </w:p>
    <w:p w14:paraId="0A92ADC0" w14:textId="77777777" w:rsidR="00205287" w:rsidRPr="00662EEB" w:rsidRDefault="00205287" w:rsidP="00C330C0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14:paraId="12DB07EB" w14:textId="2F5C812E" w:rsidR="00205287" w:rsidRDefault="00205287" w:rsidP="002052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 dados expostos de 2013 a 2016 é conclusivo que nesse comparativo no ano final (2016) o Estado do Paraná teve uma diminuição de 5% comparada a 2013. Os municípios de Araruna e Engenheiro Beltrão também apresentaram uma diminuição </w:t>
      </w:r>
      <w:r w:rsidR="0051315A">
        <w:rPr>
          <w:color w:val="000000"/>
          <w:sz w:val="24"/>
          <w:szCs w:val="24"/>
        </w:rPr>
        <w:t xml:space="preserve">comparando-se </w:t>
      </w:r>
      <w:proofErr w:type="gramStart"/>
      <w:r w:rsidR="0051315A">
        <w:rPr>
          <w:color w:val="000000"/>
          <w:sz w:val="24"/>
          <w:szCs w:val="24"/>
        </w:rPr>
        <w:t xml:space="preserve">com </w:t>
      </w:r>
      <w:r>
        <w:rPr>
          <w:color w:val="000000"/>
          <w:sz w:val="24"/>
          <w:szCs w:val="24"/>
        </w:rPr>
        <w:t xml:space="preserve"> 2013</w:t>
      </w:r>
      <w:proofErr w:type="gramEnd"/>
      <w:r>
        <w:rPr>
          <w:color w:val="000000"/>
          <w:sz w:val="24"/>
          <w:szCs w:val="24"/>
        </w:rPr>
        <w:t xml:space="preserve">, destaque a Araruna que teve a maior queda, cerca de 13% e Engenheiro Beltrão resultou </w:t>
      </w:r>
      <w:r>
        <w:rPr>
          <w:color w:val="000000"/>
          <w:sz w:val="24"/>
          <w:szCs w:val="24"/>
        </w:rPr>
        <w:lastRenderedPageBreak/>
        <w:t xml:space="preserve">em uma queda de 7%. Terra Boa foi o único que no comparativo 2013-2016 desempenhou um crescimento, sendo ele de 4%, mas é o território dentre os considerados que desempenha os menores números, mesmo com seu crescimento o município segue abaixo do valor adicionado identificado por seus respectivos vizinhos de territoriais, além de ser o município com maior número estimado de habitantes. </w:t>
      </w:r>
    </w:p>
    <w:p w14:paraId="77CB6BA7" w14:textId="77777777" w:rsidR="00205287" w:rsidRDefault="00205287" w:rsidP="002052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Aqui em termos de desempenho Terra Boa ficou em primeiro, Engenheiro Beltrão em segundo e Araruna em terceiro. </w:t>
      </w:r>
    </w:p>
    <w:p w14:paraId="334CF8A7" w14:textId="77777777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sequência segue-se a análise da tabela 5 - comparação de água encanada e coleta de lixo.</w:t>
      </w:r>
    </w:p>
    <w:p w14:paraId="2AEBE52D" w14:textId="77C5E0AD" w:rsidR="004D1CF2" w:rsidRPr="006804C6" w:rsidRDefault="004D1CF2" w:rsidP="004D1CF2">
      <w:pPr>
        <w:spacing w:line="360" w:lineRule="auto"/>
        <w:ind w:firstLine="709"/>
        <w:jc w:val="both"/>
        <w:rPr>
          <w:sz w:val="24"/>
          <w:szCs w:val="24"/>
        </w:rPr>
      </w:pPr>
      <w:r w:rsidRPr="006804C6">
        <w:rPr>
          <w:sz w:val="24"/>
          <w:szCs w:val="24"/>
        </w:rPr>
        <w:t>Com relação aos indicadores de habitação (domicílios ligados a rede de água e coleta de resíduos domiciliares), de acordo com os dados disponíveis na tabela 2 percebe-se um aumento no número de residências com água encanada e coleta de lixo</w:t>
      </w:r>
      <w:r w:rsidR="004C7D3A">
        <w:rPr>
          <w:sz w:val="24"/>
          <w:szCs w:val="24"/>
        </w:rPr>
        <w:t>.</w:t>
      </w:r>
    </w:p>
    <w:p w14:paraId="07D3B209" w14:textId="77777777" w:rsidR="004D1CF2" w:rsidRPr="00A55B3D" w:rsidRDefault="004D1CF2" w:rsidP="004D1CF2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A55B3D">
        <w:rPr>
          <w:b/>
          <w:bCs/>
          <w:color w:val="000000"/>
          <w:sz w:val="24"/>
          <w:szCs w:val="24"/>
        </w:rPr>
        <w:t xml:space="preserve">Tabela </w:t>
      </w:r>
      <w:r>
        <w:rPr>
          <w:b/>
          <w:bCs/>
          <w:color w:val="000000"/>
          <w:sz w:val="24"/>
          <w:szCs w:val="24"/>
        </w:rPr>
        <w:t>5</w:t>
      </w:r>
      <w:r w:rsidRPr="00A55B3D">
        <w:rPr>
          <w:b/>
          <w:bCs/>
          <w:color w:val="000000"/>
          <w:sz w:val="24"/>
          <w:szCs w:val="24"/>
        </w:rPr>
        <w:t xml:space="preserve"> - % água encanada e coleta de lixo </w:t>
      </w:r>
    </w:p>
    <w:tbl>
      <w:tblPr>
        <w:tblW w:w="10034" w:type="dxa"/>
        <w:tblLook w:val="04A0" w:firstRow="1" w:lastRow="0" w:firstColumn="1" w:lastColumn="0" w:noHBand="0" w:noVBand="1"/>
      </w:tblPr>
      <w:tblGrid>
        <w:gridCol w:w="1858"/>
        <w:gridCol w:w="1315"/>
        <w:gridCol w:w="1315"/>
        <w:gridCol w:w="1315"/>
        <w:gridCol w:w="1411"/>
        <w:gridCol w:w="1410"/>
        <w:gridCol w:w="1410"/>
      </w:tblGrid>
      <w:tr w:rsidR="004D1CF2" w:rsidRPr="00351B94" w14:paraId="20BF8E33" w14:textId="77777777" w:rsidTr="004D1CF2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848" w14:textId="77777777" w:rsidR="004D1CF2" w:rsidRPr="00765AB0" w:rsidRDefault="004D1CF2" w:rsidP="004D1CF2"/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4081C80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FFFFFF"/>
              </w:rPr>
            </w:pPr>
            <w:r w:rsidRPr="00765AB0">
              <w:rPr>
                <w:rFonts w:ascii="Calibri" w:hAnsi="Calibri" w:cs="Calibri"/>
                <w:color w:val="FFFFFF"/>
              </w:rPr>
              <w:t>% da população em domicílios com água encanada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DE336F1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FFFFFF"/>
              </w:rPr>
            </w:pPr>
            <w:r w:rsidRPr="00765AB0">
              <w:rPr>
                <w:rFonts w:ascii="Calibri" w:hAnsi="Calibri" w:cs="Calibri"/>
                <w:color w:val="FFFFFF"/>
              </w:rPr>
              <w:t>% de pessoas em domicílios urbanos com coleta de lixo</w:t>
            </w:r>
          </w:p>
        </w:tc>
      </w:tr>
      <w:tr w:rsidR="004D1CF2" w:rsidRPr="00765AB0" w14:paraId="5DE82EA1" w14:textId="77777777" w:rsidTr="004D1CF2">
        <w:trPr>
          <w:trHeight w:val="28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B6A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Territorialidades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6E4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1991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32A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DC9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57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1991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063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95C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65AB0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</w:tr>
      <w:tr w:rsidR="004D1CF2" w:rsidRPr="00765AB0" w14:paraId="1C1512F3" w14:textId="77777777" w:rsidTr="004D1CF2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B90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Paraná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92F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82.93%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E24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94.40%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4D6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96.71%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607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86.40%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DAF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96.97%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C7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99.18%</w:t>
            </w:r>
          </w:p>
        </w:tc>
      </w:tr>
      <w:tr w:rsidR="004D1CF2" w:rsidRPr="00765AB0" w14:paraId="3BC0543C" w14:textId="77777777" w:rsidTr="004D1CF2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439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Araruna (PR)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7A4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84.73%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EF02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96.79%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729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98.12%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E6A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71.38%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F47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94.20%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74E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98.66%</w:t>
            </w:r>
          </w:p>
        </w:tc>
      </w:tr>
      <w:tr w:rsidR="004D1CF2" w:rsidRPr="00765AB0" w14:paraId="4B3014FB" w14:textId="77777777" w:rsidTr="004D1CF2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6706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Engenheiro Beltrão (PR)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A3B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86.81%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63C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97.92%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C9A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90.62%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3DC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79.64%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38C3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99.37%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6283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99.43%</w:t>
            </w:r>
          </w:p>
        </w:tc>
      </w:tr>
      <w:tr w:rsidR="004D1CF2" w:rsidRPr="00765AB0" w14:paraId="09AF5A8F" w14:textId="77777777" w:rsidTr="004D1CF2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F69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Terra Boa (PR)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AE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82.24%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589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97.97%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370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99.32%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225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77.23%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2D7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97.93%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44B" w14:textId="77777777" w:rsidR="004D1CF2" w:rsidRPr="00765AB0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765AB0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2731D66D" w14:textId="77777777" w:rsidR="004D1CF2" w:rsidRPr="007F47F3" w:rsidRDefault="004D1CF2" w:rsidP="004D1CF2">
      <w:pPr>
        <w:jc w:val="both"/>
        <w:rPr>
          <w:color w:val="000000"/>
          <w:sz w:val="22"/>
          <w:szCs w:val="22"/>
        </w:rPr>
      </w:pPr>
      <w:r w:rsidRPr="007F47F3">
        <w:rPr>
          <w:color w:val="000000"/>
          <w:sz w:val="22"/>
          <w:szCs w:val="22"/>
        </w:rPr>
        <w:t xml:space="preserve">Fonte: IBGE / Elaboração: Atlas do Desenvolvimento Humano no Brasil. </w:t>
      </w:r>
      <w:proofErr w:type="spellStart"/>
      <w:r w:rsidRPr="007F47F3">
        <w:rPr>
          <w:color w:val="000000"/>
          <w:sz w:val="22"/>
          <w:szCs w:val="22"/>
        </w:rPr>
        <w:t>Pnud</w:t>
      </w:r>
      <w:proofErr w:type="spellEnd"/>
      <w:r w:rsidRPr="007F47F3">
        <w:rPr>
          <w:color w:val="000000"/>
          <w:sz w:val="22"/>
          <w:szCs w:val="22"/>
        </w:rPr>
        <w:t xml:space="preserve"> Brasil, Ipea e FJP, 2020. Organizados pelos autores.</w:t>
      </w:r>
    </w:p>
    <w:p w14:paraId="3DFBC919" w14:textId="77777777" w:rsidR="004D1CF2" w:rsidRPr="00351B94" w:rsidRDefault="004D1CF2" w:rsidP="004D1CF2">
      <w:pPr>
        <w:jc w:val="both"/>
        <w:rPr>
          <w:color w:val="000000"/>
          <w:sz w:val="24"/>
          <w:szCs w:val="24"/>
        </w:rPr>
      </w:pPr>
    </w:p>
    <w:p w14:paraId="7F5E9214" w14:textId="1708BF18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51B94">
        <w:rPr>
          <w:color w:val="000000"/>
          <w:sz w:val="24"/>
          <w:szCs w:val="24"/>
        </w:rPr>
        <w:t>Analisando domicílios que possuem água encanada é importante destacar Terra Boa em 1991, dentre os municípios considerados na análise, apresentava a menor porcentagem com água encanada, já em 2010 apresentou a maior porcentagem de domicílios com água encanada. Em coleta de lixo</w:t>
      </w:r>
      <w:r>
        <w:rPr>
          <w:color w:val="000000"/>
          <w:sz w:val="24"/>
          <w:szCs w:val="24"/>
        </w:rPr>
        <w:t xml:space="preserve">, </w:t>
      </w:r>
      <w:r w:rsidRPr="00351B94">
        <w:rPr>
          <w:color w:val="000000"/>
          <w:sz w:val="24"/>
          <w:szCs w:val="24"/>
        </w:rPr>
        <w:t>Terra Boa também apresentou uma ótima performance</w:t>
      </w:r>
      <w:r>
        <w:rPr>
          <w:color w:val="000000"/>
          <w:sz w:val="24"/>
          <w:szCs w:val="24"/>
        </w:rPr>
        <w:t>,</w:t>
      </w:r>
      <w:r w:rsidRPr="00351B94">
        <w:rPr>
          <w:color w:val="000000"/>
          <w:sz w:val="24"/>
          <w:szCs w:val="24"/>
        </w:rPr>
        <w:t xml:space="preserve"> já que em 2010 atingiu 100% das pessoas </w:t>
      </w:r>
      <w:r>
        <w:rPr>
          <w:color w:val="000000"/>
          <w:sz w:val="24"/>
          <w:szCs w:val="24"/>
        </w:rPr>
        <w:t>com acesso ao mesmo.</w:t>
      </w:r>
    </w:p>
    <w:p w14:paraId="6A170CD6" w14:textId="77777777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Estado, o acesso a água encanada teve um aumento de 30% de 1991 a 2010. Já Engenheiro Beltrão que possui a menor porcentagem dentre as territorialidades analisadas, mas em percentual de coleta de lixo aproximadamente 99.43% da sua população possuem acesso a esse direito.</w:t>
      </w:r>
    </w:p>
    <w:p w14:paraId="11546C73" w14:textId="2CE5D7BA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Nessa análise Araruna tem um segundo e um terceiro</w:t>
      </w:r>
      <w:r w:rsidR="007B2F34">
        <w:rPr>
          <w:color w:val="000000"/>
          <w:sz w:val="24"/>
          <w:szCs w:val="24"/>
        </w:rPr>
        <w:t xml:space="preserve"> lugares</w:t>
      </w:r>
      <w:r>
        <w:rPr>
          <w:color w:val="000000"/>
          <w:sz w:val="24"/>
          <w:szCs w:val="24"/>
        </w:rPr>
        <w:t xml:space="preserve">, Engenheiro Beltrão um terceiro e um segundo e Terra Boa dois primeiros lugares. </w:t>
      </w:r>
    </w:p>
    <w:p w14:paraId="561649BF" w14:textId="77777777" w:rsidR="004D1CF2" w:rsidRDefault="004D1CF2" w:rsidP="004D1CF2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sequência segue-se os dados da Tabela 6 sobre a Coleta de resíduos domiciliares.</w:t>
      </w:r>
    </w:p>
    <w:p w14:paraId="3017F60F" w14:textId="77777777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E7A6B">
        <w:rPr>
          <w:color w:val="000000" w:themeColor="text1"/>
          <w:sz w:val="24"/>
          <w:szCs w:val="24"/>
        </w:rPr>
        <w:t xml:space="preserve">Como a coleta de resíduos sólidos é um fator primordial há um dado mais recente sobre coleta de lixo informado pelo </w:t>
      </w:r>
      <w:r w:rsidRPr="001E7A6B">
        <w:rPr>
          <w:rStyle w:val="nfase"/>
          <w:i w:val="0"/>
          <w:iCs w:val="0"/>
          <w:color w:val="000000" w:themeColor="text1"/>
          <w:sz w:val="24"/>
          <w:szCs w:val="24"/>
          <w:shd w:val="clear" w:color="auto" w:fill="FFFFFF"/>
        </w:rPr>
        <w:t>Sistema Nacional de Informações sobre Saneamento</w:t>
      </w:r>
      <w:r w:rsidRPr="001E7A6B">
        <w:rPr>
          <w:color w:val="000000" w:themeColor="text1"/>
          <w:sz w:val="24"/>
          <w:szCs w:val="24"/>
          <w:shd w:val="clear" w:color="auto" w:fill="FFFFFF"/>
        </w:rPr>
        <w:t xml:space="preserve"> – SNIS, na </w:t>
      </w:r>
      <w:r w:rsidRPr="001E7A6B">
        <w:rPr>
          <w:color w:val="000000" w:themeColor="text1"/>
          <w:sz w:val="24"/>
          <w:szCs w:val="24"/>
          <w:shd w:val="clear" w:color="auto" w:fill="FFFFFF"/>
        </w:rPr>
        <w:lastRenderedPageBreak/>
        <w:t>tabela abaixo:</w:t>
      </w:r>
      <w:r w:rsidRPr="001E7A6B">
        <w:rPr>
          <w:color w:val="000000" w:themeColor="text1"/>
          <w:sz w:val="24"/>
          <w:szCs w:val="24"/>
          <w:shd w:val="clear" w:color="auto" w:fill="FFFFFF"/>
        </w:rPr>
        <w:br/>
      </w:r>
      <w:r w:rsidRPr="00A55B3D">
        <w:rPr>
          <w:b/>
          <w:bCs/>
          <w:color w:val="000000"/>
          <w:sz w:val="24"/>
          <w:szCs w:val="24"/>
        </w:rPr>
        <w:t xml:space="preserve">Tabela </w:t>
      </w:r>
      <w:r>
        <w:rPr>
          <w:b/>
          <w:bCs/>
          <w:color w:val="000000"/>
          <w:sz w:val="24"/>
          <w:szCs w:val="24"/>
        </w:rPr>
        <w:t>6</w:t>
      </w:r>
      <w:r w:rsidRPr="00A55B3D">
        <w:rPr>
          <w:b/>
          <w:bCs/>
          <w:color w:val="000000"/>
          <w:sz w:val="24"/>
          <w:szCs w:val="24"/>
        </w:rPr>
        <w:t>– Coleta de resíduos domiciliares</w:t>
      </w:r>
      <w:r>
        <w:rPr>
          <w:color w:val="000000"/>
          <w:sz w:val="24"/>
          <w:szCs w:val="24"/>
        </w:rPr>
        <w:t xml:space="preserve"> 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997"/>
        <w:gridCol w:w="1354"/>
        <w:gridCol w:w="1354"/>
        <w:gridCol w:w="1354"/>
        <w:gridCol w:w="1354"/>
        <w:gridCol w:w="1354"/>
      </w:tblGrid>
      <w:tr w:rsidR="004D1CF2" w:rsidRPr="000F4F3E" w14:paraId="5F925CA1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6D7" w14:textId="77777777" w:rsidR="004D1CF2" w:rsidRPr="000F4F3E" w:rsidRDefault="004D1CF2" w:rsidP="004D1C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2AA6E455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F4F3E">
              <w:rPr>
                <w:rFonts w:ascii="Calibri" w:hAnsi="Calibri" w:cs="Calibri"/>
                <w:b/>
                <w:bCs/>
                <w:color w:val="FFFFFF"/>
              </w:rPr>
              <w:t>% da população urbana atendida por serviços regulares de coleta de resíduos domiciliares</w:t>
            </w:r>
          </w:p>
        </w:tc>
      </w:tr>
      <w:tr w:rsidR="004D1CF2" w:rsidRPr="000F4F3E" w14:paraId="145EB909" w14:textId="77777777" w:rsidTr="004D1CF2">
        <w:trPr>
          <w:trHeight w:val="287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ED5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Territorialidades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BE6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B13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D8C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EEF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72E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4F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4D1CF2" w:rsidRPr="000F4F3E" w14:paraId="6C6000C0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006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Brasil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108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82.90%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B5B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84.91%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7D1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81.60%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AE3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82.80%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7C3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82.85%</w:t>
            </w:r>
          </w:p>
        </w:tc>
      </w:tr>
      <w:tr w:rsidR="004D1CF2" w:rsidRPr="000F4F3E" w14:paraId="6001A36E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895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Paraná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616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88.92%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D82F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90.24%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3C6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84.91%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E75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93.78%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BF0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92.18%</w:t>
            </w:r>
          </w:p>
        </w:tc>
      </w:tr>
      <w:tr w:rsidR="004D1CF2" w:rsidRPr="000F4F3E" w14:paraId="3F089A60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CDF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Araruna (PR)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ECC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C09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3A64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EFD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6BF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4D1CF2" w:rsidRPr="000F4F3E" w14:paraId="63E1DA02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84F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Engenheiro Beltrão (PR)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AD2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840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08D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99.91%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7C5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366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4D1CF2" w:rsidRPr="000F4F3E" w14:paraId="392AD47E" w14:textId="77777777" w:rsidTr="004D1CF2">
        <w:trPr>
          <w:trHeight w:val="273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347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Terra Boa (PR)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1DB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98.53%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4A17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B6E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1D7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EDE" w14:textId="77777777" w:rsidR="004D1CF2" w:rsidRPr="000F4F3E" w:rsidRDefault="004D1CF2" w:rsidP="004D1CF2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3E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3B26C84E" w14:textId="77777777" w:rsidR="004D1CF2" w:rsidRPr="00E97969" w:rsidRDefault="004D1CF2" w:rsidP="004D1CF2">
      <w:pPr>
        <w:jc w:val="both"/>
        <w:rPr>
          <w:color w:val="000000"/>
          <w:sz w:val="22"/>
          <w:szCs w:val="22"/>
        </w:rPr>
      </w:pPr>
      <w:r w:rsidRPr="00E97969">
        <w:rPr>
          <w:color w:val="000000"/>
          <w:sz w:val="22"/>
          <w:szCs w:val="22"/>
        </w:rPr>
        <w:t xml:space="preserve">Fonte: SNIS / Elaboração: Atlas do Desenvolvimento Humano no Brasil. </w:t>
      </w:r>
      <w:proofErr w:type="spellStart"/>
      <w:r w:rsidRPr="00E97969">
        <w:rPr>
          <w:color w:val="000000"/>
          <w:sz w:val="22"/>
          <w:szCs w:val="22"/>
        </w:rPr>
        <w:t>Pnud</w:t>
      </w:r>
      <w:proofErr w:type="spellEnd"/>
      <w:r w:rsidRPr="00E97969">
        <w:rPr>
          <w:color w:val="000000"/>
          <w:sz w:val="22"/>
          <w:szCs w:val="22"/>
        </w:rPr>
        <w:t xml:space="preserve"> Brasil, Ipea e FJP, 2020. / </w:t>
      </w:r>
      <w:proofErr w:type="spellStart"/>
      <w:r w:rsidRPr="00E97969">
        <w:rPr>
          <w:color w:val="000000"/>
          <w:sz w:val="22"/>
          <w:szCs w:val="22"/>
        </w:rPr>
        <w:t>Org</w:t>
      </w:r>
      <w:proofErr w:type="spellEnd"/>
      <w:r w:rsidRPr="00E97969">
        <w:rPr>
          <w:color w:val="000000"/>
          <w:sz w:val="22"/>
          <w:szCs w:val="22"/>
        </w:rPr>
        <w:t xml:space="preserve">: RODRIGUES, </w:t>
      </w:r>
      <w:proofErr w:type="spellStart"/>
      <w:r w:rsidRPr="00E97969">
        <w:rPr>
          <w:color w:val="000000"/>
          <w:sz w:val="22"/>
          <w:szCs w:val="22"/>
        </w:rPr>
        <w:t>Kethllen</w:t>
      </w:r>
      <w:proofErr w:type="spellEnd"/>
      <w:r w:rsidRPr="00E97969">
        <w:rPr>
          <w:color w:val="000000"/>
          <w:sz w:val="22"/>
          <w:szCs w:val="22"/>
        </w:rPr>
        <w:t xml:space="preserve"> Prado </w:t>
      </w:r>
      <w:proofErr w:type="spellStart"/>
      <w:r w:rsidRPr="00E97969">
        <w:rPr>
          <w:color w:val="000000"/>
          <w:sz w:val="22"/>
          <w:szCs w:val="22"/>
        </w:rPr>
        <w:t>Gottsfritz</w:t>
      </w:r>
      <w:proofErr w:type="spellEnd"/>
      <w:r w:rsidRPr="00E97969">
        <w:rPr>
          <w:color w:val="000000"/>
          <w:sz w:val="22"/>
          <w:szCs w:val="22"/>
        </w:rPr>
        <w:t>.</w:t>
      </w:r>
    </w:p>
    <w:p w14:paraId="59DF2CB4" w14:textId="77777777" w:rsidR="004D1CF2" w:rsidRDefault="004D1CF2" w:rsidP="004D1CF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61C2E375" w14:textId="6093AAAE" w:rsidR="004D1CF2" w:rsidRDefault="004D1CF2" w:rsidP="001766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Comparativo percentual dos municípios analisados junto ao Estado do Paraná e o dado geral no Brasil. É notório que os </w:t>
      </w:r>
      <w:r w:rsidR="00176611">
        <w:rPr>
          <w:color w:val="000000"/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 municípios possuem 100% de serviços de coleta de resíduos, mas não é uma realidade no país inteiro já que o último dado mais recente segundo o SNIS ponta que 17.15% da população não possui acesso a esse serviço sem esse serviço. </w:t>
      </w:r>
    </w:p>
    <w:p w14:paraId="12250F5F" w14:textId="6E23D3C5" w:rsidR="000F7CFD" w:rsidRDefault="000F7CFD" w:rsidP="000F7CF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sequência será analisado as informações sobre a </w:t>
      </w:r>
      <w:r w:rsidR="00176611">
        <w:rPr>
          <w:color w:val="000000"/>
          <w:sz w:val="24"/>
          <w:szCs w:val="24"/>
        </w:rPr>
        <w:t xml:space="preserve">arrecadação da </w:t>
      </w:r>
      <w:r>
        <w:rPr>
          <w:color w:val="000000"/>
          <w:sz w:val="24"/>
          <w:szCs w:val="24"/>
        </w:rPr>
        <w:t xml:space="preserve">Receita na Tabela 7. </w:t>
      </w:r>
    </w:p>
    <w:p w14:paraId="32CB611E" w14:textId="77777777" w:rsidR="000F7CFD" w:rsidRDefault="000F7CFD" w:rsidP="000F7CFD">
      <w:pPr>
        <w:spacing w:line="360" w:lineRule="auto"/>
        <w:jc w:val="both"/>
        <w:rPr>
          <w:b/>
          <w:bCs/>
          <w:sz w:val="24"/>
          <w:szCs w:val="24"/>
        </w:rPr>
      </w:pPr>
    </w:p>
    <w:p w14:paraId="60B1DC88" w14:textId="01013727" w:rsidR="000F7CFD" w:rsidRPr="00755744" w:rsidRDefault="000F7CFD" w:rsidP="000F7CFD">
      <w:pPr>
        <w:spacing w:line="360" w:lineRule="auto"/>
        <w:jc w:val="both"/>
        <w:rPr>
          <w:b/>
          <w:bCs/>
          <w:sz w:val="24"/>
          <w:szCs w:val="24"/>
        </w:rPr>
      </w:pPr>
      <w:r w:rsidRPr="003E7721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7</w:t>
      </w:r>
      <w:r w:rsidRPr="003E7721">
        <w:rPr>
          <w:b/>
          <w:bCs/>
          <w:sz w:val="24"/>
          <w:szCs w:val="24"/>
        </w:rPr>
        <w:t xml:space="preserve"> - Receita</w:t>
      </w:r>
      <w:r w:rsidR="003E57EE">
        <w:rPr>
          <w:b/>
          <w:bCs/>
          <w:sz w:val="24"/>
          <w:szCs w:val="24"/>
        </w:rPr>
        <w:t>s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960"/>
        <w:gridCol w:w="1481"/>
        <w:gridCol w:w="1756"/>
        <w:gridCol w:w="1866"/>
        <w:gridCol w:w="2420"/>
      </w:tblGrid>
      <w:tr w:rsidR="000F7CFD" w:rsidRPr="000060CA" w14:paraId="44BFE4C4" w14:textId="77777777" w:rsidTr="001647A5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2662C58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Receitas</w:t>
            </w:r>
            <w:proofErr w:type="spellEnd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F7CFD" w:rsidRPr="000060CA" w14:paraId="475E3ABD" w14:textId="77777777" w:rsidTr="00164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B800E8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Terrritorialidade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07859E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Município</w:t>
            </w:r>
            <w:proofErr w:type="spellEnd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9DE73A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Região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BC540B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Estado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F0F7C6" w14:textId="77777777" w:rsidR="000F7CFD" w:rsidRPr="000060CA" w:rsidRDefault="000F7CFD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Área</w:t>
            </w:r>
            <w:proofErr w:type="spellEnd"/>
            <w:r w:rsidRPr="000060C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Territorial  (km2)</w:t>
            </w:r>
          </w:p>
        </w:tc>
      </w:tr>
      <w:tr w:rsidR="000F7CFD" w:rsidRPr="000060CA" w14:paraId="27B9F470" w14:textId="77777777" w:rsidTr="001647A5">
        <w:trPr>
          <w:trHeight w:val="600"/>
        </w:trPr>
        <w:tc>
          <w:tcPr>
            <w:tcW w:w="1960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050031B1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060CA">
              <w:rPr>
                <w:color w:val="000000"/>
                <w:sz w:val="22"/>
                <w:szCs w:val="22"/>
                <w:lang w:val="en-US" w:eastAsia="en-US"/>
              </w:rPr>
              <w:t>Engenheiro</w:t>
            </w:r>
            <w:proofErr w:type="spellEnd"/>
            <w:r w:rsidRPr="000060C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60CA">
              <w:rPr>
                <w:color w:val="000000"/>
                <w:sz w:val="22"/>
                <w:szCs w:val="22"/>
                <w:lang w:val="en-US" w:eastAsia="en-US"/>
              </w:rPr>
              <w:t>Beltrão</w:t>
            </w:r>
            <w:proofErr w:type="spellEnd"/>
          </w:p>
        </w:tc>
        <w:tc>
          <w:tcPr>
            <w:tcW w:w="130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737EFC49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52.141.533,37</w:t>
            </w:r>
          </w:p>
        </w:tc>
        <w:tc>
          <w:tcPr>
            <w:tcW w:w="170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9A16411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1.489.223.724,43</w:t>
            </w:r>
          </w:p>
        </w:tc>
        <w:tc>
          <w:tcPr>
            <w:tcW w:w="172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F88E193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50.260.881.474,62</w:t>
            </w:r>
          </w:p>
        </w:tc>
        <w:tc>
          <w:tcPr>
            <w:tcW w:w="242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7142B8D7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470210</w:t>
            </w:r>
          </w:p>
        </w:tc>
      </w:tr>
      <w:tr w:rsidR="000F7CFD" w:rsidRPr="000060CA" w14:paraId="1588D969" w14:textId="77777777" w:rsidTr="001647A5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23E3288F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60CA">
              <w:rPr>
                <w:color w:val="000000"/>
                <w:sz w:val="22"/>
                <w:szCs w:val="22"/>
                <w:lang w:val="en-US" w:eastAsia="en-US"/>
              </w:rPr>
              <w:t>Araruna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5C97AE72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57.135.671,22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420C239B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1.489.223.724,43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6BEC321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50.260.881.474,62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3F50B051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494020</w:t>
            </w:r>
          </w:p>
        </w:tc>
      </w:tr>
      <w:tr w:rsidR="000F7CFD" w:rsidRPr="000060CA" w14:paraId="12D28AF5" w14:textId="77777777" w:rsidTr="001647A5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3E095DA6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 xml:space="preserve">Terra Boa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085A6E3E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86.164.272,97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1043F833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798.636.919,55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1A956E6F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50.260.881.474,62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71BA4AC0" w14:textId="77777777" w:rsidR="000F7CFD" w:rsidRPr="000060CA" w:rsidRDefault="000F7CFD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060CA">
              <w:rPr>
                <w:color w:val="000000"/>
                <w:sz w:val="22"/>
                <w:szCs w:val="22"/>
                <w:lang w:val="en-US" w:eastAsia="en-US"/>
              </w:rPr>
              <w:t>324293</w:t>
            </w:r>
          </w:p>
        </w:tc>
      </w:tr>
    </w:tbl>
    <w:p w14:paraId="32299F5D" w14:textId="77777777" w:rsidR="000F7CFD" w:rsidRPr="00D7448F" w:rsidRDefault="000F7CFD" w:rsidP="000F7CFD">
      <w:pPr>
        <w:spacing w:line="360" w:lineRule="auto"/>
        <w:jc w:val="both"/>
        <w:rPr>
          <w:sz w:val="22"/>
          <w:szCs w:val="22"/>
        </w:rPr>
      </w:pPr>
      <w:r w:rsidRPr="00D7448F">
        <w:rPr>
          <w:sz w:val="22"/>
          <w:szCs w:val="22"/>
        </w:rPr>
        <w:t>Fonte: Instituto Paranaense de Desenvolvimento Econômico e Social – IPARDES.</w:t>
      </w:r>
    </w:p>
    <w:p w14:paraId="01D37BC5" w14:textId="77777777" w:rsidR="000F7CFD" w:rsidRDefault="000F7CFD" w:rsidP="000F7CFD">
      <w:pPr>
        <w:spacing w:line="360" w:lineRule="auto"/>
        <w:ind w:firstLine="709"/>
        <w:jc w:val="both"/>
        <w:rPr>
          <w:sz w:val="24"/>
          <w:szCs w:val="24"/>
        </w:rPr>
      </w:pPr>
      <w:r w:rsidRPr="00BC32E4">
        <w:rPr>
          <w:sz w:val="24"/>
          <w:szCs w:val="24"/>
        </w:rPr>
        <w:t>O município de Terra Boa, mesmo possuindo uma área territorial menor comparada a Engenheiro Beltrão e Araruna</w:t>
      </w:r>
      <w:r>
        <w:rPr>
          <w:sz w:val="24"/>
          <w:szCs w:val="24"/>
        </w:rPr>
        <w:t>, arrecadou</w:t>
      </w:r>
      <w:r w:rsidRPr="00BC32E4">
        <w:rPr>
          <w:sz w:val="24"/>
          <w:szCs w:val="24"/>
        </w:rPr>
        <w:t xml:space="preserve"> uma receita superior aos municípios de Engenheiro Beltrão e Araruna, que possuem uma área territorial maior.</w:t>
      </w:r>
      <w:r>
        <w:rPr>
          <w:sz w:val="24"/>
          <w:szCs w:val="24"/>
        </w:rPr>
        <w:t xml:space="preserve"> Em comparativo percentual Terra Boa desempenhou uma receita 51% maior do que o município de Araruna e 65% maior do que Engenheiro Beltrão.</w:t>
      </w:r>
      <w:r w:rsidRPr="00BC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Possivelmente seja um município com mais indústrias e prestação de serviços. Na comparação e seguindo padrões anteriores Terra Boa em primeiro, Araruna e segundo e Engenheiro Beltrão em terceiro. </w:t>
      </w:r>
    </w:p>
    <w:p w14:paraId="293FE4E6" w14:textId="77777777" w:rsidR="000F7CFD" w:rsidRDefault="000F7CFD" w:rsidP="000F7CFD">
      <w:pPr>
        <w:spacing w:line="360" w:lineRule="auto"/>
        <w:ind w:firstLine="709"/>
        <w:jc w:val="both"/>
        <w:rPr>
          <w:sz w:val="24"/>
          <w:szCs w:val="24"/>
        </w:rPr>
      </w:pPr>
      <w:r w:rsidRPr="007F47F3">
        <w:rPr>
          <w:sz w:val="24"/>
          <w:szCs w:val="24"/>
        </w:rPr>
        <w:t xml:space="preserve">Segundo Gusmão e </w:t>
      </w:r>
      <w:proofErr w:type="spellStart"/>
      <w:r w:rsidRPr="007F47F3">
        <w:rPr>
          <w:sz w:val="24"/>
          <w:szCs w:val="24"/>
        </w:rPr>
        <w:t>Bovo</w:t>
      </w:r>
      <w:proofErr w:type="spellEnd"/>
      <w:r w:rsidRPr="007F47F3">
        <w:rPr>
          <w:sz w:val="24"/>
          <w:szCs w:val="24"/>
        </w:rPr>
        <w:t xml:space="preserve"> (2021) baseado em Ramires (1998) e Corrêa (1999) Terra Boa nas suas últimas gestões políticas passou por diversos processos de renovação urbana, muito </w:t>
      </w:r>
      <w:r w:rsidRPr="007F47F3">
        <w:rPr>
          <w:sz w:val="24"/>
          <w:szCs w:val="24"/>
        </w:rPr>
        <w:lastRenderedPageBreak/>
        <w:t>voltadas para mudanças de infraestrutura com o objetivo de dinamizar e facilitar deslocamento de bens, mercadorias e pessoas.</w:t>
      </w:r>
      <w:r w:rsidRPr="007F47F3">
        <w:rPr>
          <w:sz w:val="24"/>
          <w:szCs w:val="24"/>
          <w:highlight w:val="yellow"/>
        </w:rPr>
        <w:t xml:space="preserve"> </w:t>
      </w:r>
    </w:p>
    <w:p w14:paraId="64168909" w14:textId="77777777" w:rsidR="002C1883" w:rsidRPr="00700288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 finalmente na Tabela 8 será analisado o PIB Per Capita.</w:t>
      </w:r>
    </w:p>
    <w:p w14:paraId="4F940F8F" w14:textId="77777777" w:rsidR="002C1883" w:rsidRPr="00CD654B" w:rsidRDefault="002C1883" w:rsidP="002C1883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CD654B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8</w:t>
      </w:r>
      <w:r w:rsidRPr="00CD654B">
        <w:rPr>
          <w:b/>
          <w:bCs/>
          <w:sz w:val="24"/>
          <w:szCs w:val="24"/>
        </w:rPr>
        <w:t xml:space="preserve"> – PIB Per Capita </w:t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1960"/>
        <w:gridCol w:w="1300"/>
        <w:gridCol w:w="1700"/>
        <w:gridCol w:w="1720"/>
      </w:tblGrid>
      <w:tr w:rsidR="002C1883" w:rsidRPr="0006252F" w14:paraId="0C2A7EA4" w14:textId="77777777" w:rsidTr="001647A5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25D35C" w14:textId="77777777" w:rsidR="002C1883" w:rsidRPr="0006252F" w:rsidRDefault="002C1883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PIB PER CAPITA</w:t>
            </w:r>
          </w:p>
        </w:tc>
      </w:tr>
      <w:tr w:rsidR="002C1883" w:rsidRPr="0006252F" w14:paraId="6813273E" w14:textId="77777777" w:rsidTr="00164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4903C3" w14:textId="77777777" w:rsidR="002C1883" w:rsidRPr="0006252F" w:rsidRDefault="002C1883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Terrritorialidade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2233CB" w14:textId="77777777" w:rsidR="002C1883" w:rsidRPr="0006252F" w:rsidRDefault="002C1883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Município</w:t>
            </w:r>
            <w:proofErr w:type="spellEnd"/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29D86C" w14:textId="77777777" w:rsidR="002C1883" w:rsidRPr="0006252F" w:rsidRDefault="002C1883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Região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6093CE" w14:textId="77777777" w:rsidR="002C1883" w:rsidRPr="0006252F" w:rsidRDefault="002C1883" w:rsidP="001647A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Estado</w:t>
            </w:r>
          </w:p>
        </w:tc>
      </w:tr>
      <w:tr w:rsidR="002C1883" w:rsidRPr="0006252F" w14:paraId="4741B9B7" w14:textId="77777777" w:rsidTr="001647A5">
        <w:trPr>
          <w:trHeight w:val="300"/>
        </w:trPr>
        <w:tc>
          <w:tcPr>
            <w:tcW w:w="1960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41D55475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6252F">
              <w:rPr>
                <w:color w:val="000000"/>
                <w:sz w:val="22"/>
                <w:szCs w:val="22"/>
                <w:lang w:val="en-US" w:eastAsia="en-US"/>
              </w:rPr>
              <w:t>Araruna</w:t>
            </w:r>
            <w:proofErr w:type="spellEnd"/>
          </w:p>
        </w:tc>
        <w:tc>
          <w:tcPr>
            <w:tcW w:w="130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3015EBAA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33.736</w:t>
            </w:r>
          </w:p>
        </w:tc>
        <w:tc>
          <w:tcPr>
            <w:tcW w:w="170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53FEA675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35.927</w:t>
            </w:r>
          </w:p>
        </w:tc>
        <w:tc>
          <w:tcPr>
            <w:tcW w:w="1720" w:type="dxa"/>
            <w:tcBorders>
              <w:top w:val="single" w:sz="4" w:space="0" w:color="F4F4F4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B44BE34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40.789</w:t>
            </w:r>
          </w:p>
        </w:tc>
      </w:tr>
      <w:tr w:rsidR="002C1883" w:rsidRPr="0006252F" w14:paraId="2B2A54A8" w14:textId="77777777" w:rsidTr="001647A5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3F7E7FD1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6252F">
              <w:rPr>
                <w:color w:val="000000"/>
                <w:sz w:val="22"/>
                <w:szCs w:val="22"/>
                <w:lang w:val="en-US" w:eastAsia="en-US"/>
              </w:rPr>
              <w:t>Engenheiro</w:t>
            </w:r>
            <w:proofErr w:type="spellEnd"/>
            <w:r w:rsidRPr="0006252F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52F">
              <w:rPr>
                <w:color w:val="000000"/>
                <w:sz w:val="22"/>
                <w:szCs w:val="22"/>
                <w:lang w:val="en-US" w:eastAsia="en-US"/>
              </w:rPr>
              <w:t>Beltrão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72FA42B3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33.27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05DDBBB3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35.927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26768072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40.789</w:t>
            </w:r>
          </w:p>
        </w:tc>
      </w:tr>
      <w:tr w:rsidR="002C1883" w:rsidRPr="0006252F" w14:paraId="36B7E865" w14:textId="77777777" w:rsidTr="001647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F4F4F4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11FE7033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 xml:space="preserve">Terra Boa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9230CB9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27.305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00ABF7E4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34.05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4F4F4"/>
              <w:right w:val="single" w:sz="4" w:space="0" w:color="F4F4F4"/>
            </w:tcBorders>
            <w:shd w:val="clear" w:color="000000" w:fill="F4F4F4"/>
            <w:vAlign w:val="center"/>
            <w:hideMark/>
          </w:tcPr>
          <w:p w14:paraId="6051A1C5" w14:textId="77777777" w:rsidR="002C1883" w:rsidRPr="0006252F" w:rsidRDefault="002C1883" w:rsidP="001647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6252F">
              <w:rPr>
                <w:color w:val="000000"/>
                <w:sz w:val="22"/>
                <w:szCs w:val="22"/>
                <w:lang w:val="en-US" w:eastAsia="en-US"/>
              </w:rPr>
              <w:t>40.789</w:t>
            </w:r>
          </w:p>
        </w:tc>
      </w:tr>
    </w:tbl>
    <w:p w14:paraId="485B4A3A" w14:textId="77777777" w:rsidR="002C1883" w:rsidRPr="005C34A1" w:rsidRDefault="002C1883" w:rsidP="002C1883">
      <w:pPr>
        <w:jc w:val="both"/>
        <w:rPr>
          <w:sz w:val="22"/>
          <w:szCs w:val="22"/>
        </w:rPr>
      </w:pPr>
      <w:r w:rsidRPr="005C34A1">
        <w:rPr>
          <w:sz w:val="22"/>
          <w:szCs w:val="22"/>
        </w:rPr>
        <w:t>Fonte: Instituto Paranaense de Desenvolvimento Econômico e Social – IPARDES.</w:t>
      </w:r>
    </w:p>
    <w:p w14:paraId="713B5D3F" w14:textId="77777777" w:rsidR="002C1883" w:rsidRDefault="002C1883" w:rsidP="002C1883">
      <w:pPr>
        <w:jc w:val="both"/>
        <w:rPr>
          <w:sz w:val="22"/>
          <w:szCs w:val="22"/>
        </w:rPr>
      </w:pPr>
      <w:r w:rsidRPr="005C34A1">
        <w:rPr>
          <w:sz w:val="22"/>
          <w:szCs w:val="22"/>
        </w:rPr>
        <w:t xml:space="preserve">Organizado pelos autores. </w:t>
      </w:r>
    </w:p>
    <w:p w14:paraId="0D753359" w14:textId="77777777" w:rsidR="002C1883" w:rsidRPr="005C34A1" w:rsidRDefault="002C1883" w:rsidP="002C1883">
      <w:pPr>
        <w:jc w:val="both"/>
        <w:rPr>
          <w:sz w:val="22"/>
          <w:szCs w:val="22"/>
        </w:rPr>
      </w:pPr>
    </w:p>
    <w:p w14:paraId="643FA1BD" w14:textId="0CE0F49B" w:rsidR="002C1883" w:rsidRDefault="002C1883" w:rsidP="002C18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coletar os dados é notável que o município de Araruna apresenta o maior PIB Per Capita versus os outros municípios considerados, dando maior visibilidade para o comparativo com o município de Terra Boa, já que ele teve o menor resultando dentre as territorialidades consideradas, Araruna </w:t>
      </w:r>
      <w:r w:rsidR="00E37D4A">
        <w:rPr>
          <w:sz w:val="24"/>
          <w:szCs w:val="24"/>
        </w:rPr>
        <w:t>atingiu</w:t>
      </w:r>
      <w:r>
        <w:rPr>
          <w:sz w:val="24"/>
          <w:szCs w:val="24"/>
        </w:rPr>
        <w:t xml:space="preserve"> cerca de 23,5% a mais do que em Terra Boa, muito proveniente da pouca efetividade em produtividade no município junto a quantidade de habitantes. Então Araruna em primeiro, Engenheiro Beltrão em segundo e Terra Boa em terceiro.</w:t>
      </w:r>
    </w:p>
    <w:p w14:paraId="50A26A64" w14:textId="77777777" w:rsidR="001E7A6B" w:rsidRDefault="001E7A6B" w:rsidP="001E7A6B">
      <w:pPr>
        <w:rPr>
          <w:rFonts w:ascii="Arial" w:hAnsi="Arial" w:cs="Arial"/>
          <w:color w:val="000000"/>
          <w:sz w:val="17"/>
          <w:szCs w:val="17"/>
        </w:rPr>
      </w:pPr>
    </w:p>
    <w:p w14:paraId="650D34AD" w14:textId="77777777" w:rsidR="00383ACB" w:rsidRPr="002C1883" w:rsidRDefault="00BF7320" w:rsidP="00383ACB">
      <w:pPr>
        <w:spacing w:line="360" w:lineRule="auto"/>
        <w:jc w:val="both"/>
        <w:rPr>
          <w:sz w:val="24"/>
          <w:szCs w:val="24"/>
        </w:rPr>
      </w:pPr>
      <w:r w:rsidRPr="002C1883">
        <w:rPr>
          <w:b/>
          <w:sz w:val="24"/>
          <w:szCs w:val="24"/>
        </w:rPr>
        <w:t xml:space="preserve">CONSIDERAÇÕES FINAIS </w:t>
      </w:r>
    </w:p>
    <w:p w14:paraId="4FE6C918" w14:textId="271417B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Neste trabalho buscou-se avaliar as diferenças </w:t>
      </w:r>
      <w:r w:rsidR="000746F0">
        <w:rPr>
          <w:sz w:val="24"/>
          <w:szCs w:val="24"/>
        </w:rPr>
        <w:t xml:space="preserve">entre indicadores </w:t>
      </w:r>
      <w:r w:rsidRPr="00B574B0">
        <w:rPr>
          <w:sz w:val="24"/>
          <w:szCs w:val="24"/>
        </w:rPr>
        <w:t xml:space="preserve">de nível de desenvolvimento socioeconômico entre os municípios paranaenses de Araruna, Engenheiro Beltrão e Terra. </w:t>
      </w:r>
    </w:p>
    <w:p w14:paraId="63BD7336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No itens em que houve comparação com a média do Estado do Paraná, têm-se que em IDHM os três municípios ficaram abaixo da média do Estado.</w:t>
      </w:r>
    </w:p>
    <w:p w14:paraId="75F9C21E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No percentual de habitantes com o ensino fundamental e com nível superior os três municípios ficaram abaixo da média do Estado.</w:t>
      </w:r>
    </w:p>
    <w:p w14:paraId="0999017F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Em renda per capita, os três municípios ficaram abaixo da média do Estado.</w:t>
      </w:r>
    </w:p>
    <w:p w14:paraId="4DDB1DB5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Em termos de variação positiva do valor adicionado o município de Terra Boa teve um desempenho melhor que a média do Estado.</w:t>
      </w:r>
    </w:p>
    <w:p w14:paraId="6A0F87E9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Com referência ao percentual de água encanada Araruna e Terra Boa estão acima da média do Estado.</w:t>
      </w:r>
    </w:p>
    <w:p w14:paraId="70DDE9B5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Na coleta de lixo Engenheiro Beltrão e Terra Boa estão acima da média do Estado. </w:t>
      </w:r>
    </w:p>
    <w:p w14:paraId="0C5BAC75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Na coleta de resíduos domiciliares os três municípios estão acima da média do Estado. </w:t>
      </w:r>
    </w:p>
    <w:p w14:paraId="33F3C6F7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lastRenderedPageBreak/>
        <w:t xml:space="preserve">Em termos de desempenhos entre os três municípios, retratados durante a análise do trabalho, percebe- se que Araruna ficou em primeiro lugar em evolução do IDHM e melhor PIB per capita. </w:t>
      </w:r>
    </w:p>
    <w:p w14:paraId="2A24CFFE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Engenheiro Beltrão ficou em primeiro lugar em melhor IDHM, em percentual de alunos no ensino fundamental e em percentual no ensino superior.</w:t>
      </w:r>
    </w:p>
    <w:p w14:paraId="614C0A14" w14:textId="740FB9E5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>Terra Boa ficou em primeiro lugar na evolução do ensino fundamental, melhor renda per capita, melhor valor adicionado per capita, melhor percentual de água encanada, coleta de lixo e maior Receita</w:t>
      </w:r>
      <w:r w:rsidR="00A31446">
        <w:rPr>
          <w:sz w:val="24"/>
          <w:szCs w:val="24"/>
        </w:rPr>
        <w:t xml:space="preserve"> arrecadada</w:t>
      </w:r>
      <w:r w:rsidRPr="00B574B0">
        <w:rPr>
          <w:sz w:val="24"/>
          <w:szCs w:val="24"/>
        </w:rPr>
        <w:t xml:space="preserve">. </w:t>
      </w:r>
    </w:p>
    <w:p w14:paraId="3D2B940E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No cômputo geral conforme explicitado no corpo do trabalho, o município de Araruna teve dois primeiros lugares somando 6 pontos, quatro segundo lugares somando 8 pontos e cinco terceiros lugares somando 5 pontos, totalizando 19 pontos e ficando em terceiro lugar entre os três municípios. </w:t>
      </w:r>
    </w:p>
    <w:p w14:paraId="4BDBC16A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No cômputo geral, o município de Engenheiro Beltrão teve três primeiros lugares somando 9 pontos, cinco segundo lugares somando 10 pontos, e três terceiros lugares somando 3 pontos, totalizando 22 pontos e ficando em segundo lugar entre os três municípios.  </w:t>
      </w:r>
    </w:p>
    <w:p w14:paraId="4897E1AA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Finalizando o cômputo geral, Terra Boa teve seis primeiros lugares somando 18 pontos, três segundos lugares somando 6 pontos e dois terceiros lugares somando 2 pontos, totalizando 26 pontos e ficando em primeiro lugar entre os três municípios. </w:t>
      </w:r>
    </w:p>
    <w:p w14:paraId="05B90EA7" w14:textId="77777777" w:rsidR="002C1883" w:rsidRPr="00B574B0" w:rsidRDefault="002C1883" w:rsidP="002C1883">
      <w:pPr>
        <w:spacing w:line="360" w:lineRule="auto"/>
        <w:ind w:firstLine="709"/>
        <w:jc w:val="both"/>
        <w:rPr>
          <w:sz w:val="24"/>
          <w:szCs w:val="24"/>
        </w:rPr>
      </w:pPr>
      <w:r w:rsidRPr="00B574B0">
        <w:rPr>
          <w:sz w:val="24"/>
          <w:szCs w:val="24"/>
        </w:rPr>
        <w:t xml:space="preserve">Por uma questão de justiça científica, é importante ressaltar que a escolha dos indicadores aqui apresentados foi feita de forma aleatória, possivelmente numa seleção de outros indicadores o resultado poderia ter dado diferente. Outro aspecto é que foram trabalhos os dados de pesquisas primárias existentes e podem estar carecendo de atualização e no ano de 2022 está sendo realizado novo censo e é possível com a mesma seleção de indicadores com numa nova atualização apresentar resultados diferentes.            </w:t>
      </w:r>
    </w:p>
    <w:p w14:paraId="0603320D" w14:textId="77777777" w:rsidR="00BF7320" w:rsidRPr="00B91049" w:rsidRDefault="00BF7320" w:rsidP="006A2C5F">
      <w:pPr>
        <w:spacing w:line="360" w:lineRule="auto"/>
        <w:ind w:firstLine="709"/>
        <w:jc w:val="both"/>
        <w:rPr>
          <w:sz w:val="24"/>
          <w:szCs w:val="24"/>
        </w:rPr>
      </w:pPr>
    </w:p>
    <w:p w14:paraId="664C850A" w14:textId="77777777" w:rsidR="002A1221" w:rsidRPr="00662EEB" w:rsidRDefault="00BF7320" w:rsidP="002A1221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96F70">
        <w:rPr>
          <w:b/>
          <w:sz w:val="24"/>
          <w:szCs w:val="24"/>
        </w:rPr>
        <w:t xml:space="preserve">REFERÊNCIAS BIBLIOGRÁFICAS </w:t>
      </w:r>
    </w:p>
    <w:p w14:paraId="0EC55DDD" w14:textId="7DF24926" w:rsidR="00BF7320" w:rsidRPr="00396F70" w:rsidRDefault="002A1221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>ATLAS DO DESENVOLVIMENTO HUMANO NO BRASIL. Consulta. Disponível em: http://www.atlasbrasil.org.br/consulta/planilha. Acesso em: 13 ago. 2022</w:t>
      </w:r>
      <w:r w:rsidR="00F56663" w:rsidRPr="00396F70">
        <w:rPr>
          <w:sz w:val="24"/>
          <w:szCs w:val="24"/>
        </w:rPr>
        <w:t>.</w:t>
      </w:r>
    </w:p>
    <w:p w14:paraId="51776D03" w14:textId="77777777" w:rsidR="003948BC" w:rsidRDefault="003948BC" w:rsidP="003948BC">
      <w:pPr>
        <w:rPr>
          <w:sz w:val="24"/>
          <w:szCs w:val="24"/>
        </w:rPr>
      </w:pPr>
    </w:p>
    <w:p w14:paraId="47F2564F" w14:textId="30EB340D" w:rsidR="00FE7673" w:rsidRPr="00396F70" w:rsidRDefault="00FE767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GIL, A. C., </w:t>
      </w:r>
      <w:r w:rsidRPr="00396F70">
        <w:rPr>
          <w:b/>
          <w:bCs/>
          <w:sz w:val="24"/>
          <w:szCs w:val="24"/>
        </w:rPr>
        <w:t>Métodos e técnicas de pesquisa social</w:t>
      </w:r>
      <w:r w:rsidRPr="00396F70">
        <w:rPr>
          <w:sz w:val="24"/>
          <w:szCs w:val="24"/>
        </w:rPr>
        <w:t>. 6. ed. São Paulo: Atlas,2002</w:t>
      </w:r>
    </w:p>
    <w:p w14:paraId="6D9DDD76" w14:textId="77777777" w:rsidR="003948BC" w:rsidRDefault="003948BC" w:rsidP="003948BC">
      <w:pPr>
        <w:spacing w:line="360" w:lineRule="auto"/>
        <w:rPr>
          <w:sz w:val="24"/>
          <w:szCs w:val="24"/>
        </w:rPr>
      </w:pPr>
    </w:p>
    <w:p w14:paraId="206810B4" w14:textId="7A2DE266" w:rsidR="003948BC" w:rsidRDefault="003948BC" w:rsidP="003948BC">
      <w:pPr>
        <w:rPr>
          <w:sz w:val="24"/>
          <w:szCs w:val="24"/>
        </w:rPr>
      </w:pPr>
      <w:r w:rsidRPr="003948BC">
        <w:rPr>
          <w:sz w:val="24"/>
          <w:szCs w:val="24"/>
        </w:rPr>
        <w:t xml:space="preserve">GREMAUD, Amaury Patrick; DIAZ, Maria Dolores </w:t>
      </w:r>
      <w:proofErr w:type="spellStart"/>
      <w:r w:rsidRPr="003948BC">
        <w:rPr>
          <w:sz w:val="24"/>
          <w:szCs w:val="24"/>
        </w:rPr>
        <w:t>Montaya</w:t>
      </w:r>
      <w:proofErr w:type="spellEnd"/>
      <w:r w:rsidRPr="003948BC">
        <w:rPr>
          <w:sz w:val="24"/>
          <w:szCs w:val="24"/>
        </w:rPr>
        <w:t xml:space="preserve">; AZEVEDO, Paulo </w:t>
      </w:r>
      <w:proofErr w:type="spellStart"/>
      <w:r w:rsidRPr="003948BC">
        <w:rPr>
          <w:sz w:val="24"/>
          <w:szCs w:val="24"/>
        </w:rPr>
        <w:t>Furquin</w:t>
      </w:r>
      <w:proofErr w:type="spellEnd"/>
      <w:r w:rsidRPr="003948BC">
        <w:rPr>
          <w:sz w:val="24"/>
          <w:szCs w:val="24"/>
        </w:rPr>
        <w:t xml:space="preserve"> de; TONETO JR, </w:t>
      </w:r>
      <w:proofErr w:type="spellStart"/>
      <w:r w:rsidRPr="003948BC">
        <w:rPr>
          <w:sz w:val="24"/>
          <w:szCs w:val="24"/>
        </w:rPr>
        <w:t>Rudnei</w:t>
      </w:r>
      <w:proofErr w:type="spellEnd"/>
      <w:r w:rsidRPr="003948BC">
        <w:rPr>
          <w:sz w:val="24"/>
          <w:szCs w:val="24"/>
        </w:rPr>
        <w:t>. Introdução à Economia. São Paulo: Editora Atlas, 2007</w:t>
      </w:r>
      <w:r>
        <w:rPr>
          <w:sz w:val="24"/>
          <w:szCs w:val="24"/>
        </w:rPr>
        <w:t>.</w:t>
      </w:r>
    </w:p>
    <w:p w14:paraId="1151621E" w14:textId="77777777" w:rsidR="003948BC" w:rsidRPr="003948BC" w:rsidRDefault="003948BC" w:rsidP="003948BC">
      <w:pPr>
        <w:rPr>
          <w:sz w:val="24"/>
          <w:szCs w:val="24"/>
        </w:rPr>
      </w:pPr>
    </w:p>
    <w:p w14:paraId="726C8D93" w14:textId="535597C4" w:rsidR="00F56663" w:rsidRDefault="00F5666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GUSMÃO, P. S; BOVO, M.C. </w:t>
      </w:r>
      <w:r w:rsidRPr="00396F70">
        <w:rPr>
          <w:b/>
          <w:sz w:val="24"/>
          <w:szCs w:val="24"/>
        </w:rPr>
        <w:t>Dinâmica do uso e ocupação do solo na pequena cidade de terra boa (PR) Brasil</w:t>
      </w:r>
      <w:r w:rsidRPr="00396F70">
        <w:rPr>
          <w:sz w:val="24"/>
          <w:szCs w:val="24"/>
        </w:rPr>
        <w:t xml:space="preserve">. </w:t>
      </w:r>
      <w:proofErr w:type="spellStart"/>
      <w:r w:rsidRPr="00396F70">
        <w:rPr>
          <w:sz w:val="24"/>
          <w:szCs w:val="24"/>
        </w:rPr>
        <w:t>Geosul</w:t>
      </w:r>
      <w:proofErr w:type="spellEnd"/>
      <w:r w:rsidRPr="00396F70">
        <w:rPr>
          <w:sz w:val="24"/>
          <w:szCs w:val="24"/>
        </w:rPr>
        <w:t>, Florianópolis, v. 36, n. 80, p. 225-247, set./dez. 2021.</w:t>
      </w:r>
    </w:p>
    <w:p w14:paraId="4D536A86" w14:textId="77777777" w:rsidR="003948BC" w:rsidRPr="00396F70" w:rsidRDefault="003948BC" w:rsidP="003948BC">
      <w:pPr>
        <w:spacing w:line="360" w:lineRule="auto"/>
        <w:rPr>
          <w:sz w:val="24"/>
          <w:szCs w:val="24"/>
        </w:rPr>
      </w:pPr>
    </w:p>
    <w:p w14:paraId="27AE764C" w14:textId="45C428AC" w:rsidR="002C1883" w:rsidRDefault="002C188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lastRenderedPageBreak/>
        <w:t xml:space="preserve">IPARDES. INSTITUTO PARANAENSE DE DESENVOLVIMENTO ECONÔMICO E SOCIAL. </w:t>
      </w:r>
      <w:r w:rsidRPr="00396F70">
        <w:rPr>
          <w:b/>
          <w:sz w:val="24"/>
          <w:szCs w:val="24"/>
        </w:rPr>
        <w:t>Cadernos municipais de Araruna.</w:t>
      </w:r>
      <w:r w:rsidRPr="00396F70">
        <w:rPr>
          <w:sz w:val="24"/>
          <w:szCs w:val="24"/>
        </w:rPr>
        <w:t xml:space="preserve"> 2017.Disponível em: https://www.ipardes.pr.gov.br/Pagina/Perfil-dos-municipios-0 Acesso em: 13 ago. 2022</w:t>
      </w:r>
      <w:r w:rsidR="003948BC">
        <w:rPr>
          <w:sz w:val="24"/>
          <w:szCs w:val="24"/>
        </w:rPr>
        <w:t>.</w:t>
      </w:r>
    </w:p>
    <w:p w14:paraId="580EAB08" w14:textId="77777777" w:rsidR="003948BC" w:rsidRPr="00396F70" w:rsidRDefault="003948BC" w:rsidP="003948BC">
      <w:pPr>
        <w:spacing w:line="360" w:lineRule="auto"/>
        <w:rPr>
          <w:sz w:val="24"/>
          <w:szCs w:val="24"/>
        </w:rPr>
      </w:pPr>
    </w:p>
    <w:p w14:paraId="01BCEFD9" w14:textId="1774774F" w:rsidR="002C1883" w:rsidRDefault="002C188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IPARDES. INSTITUTO PARANAENSE DE DESENVOLVIMENTO ECONÔMICO E SOCIAL. </w:t>
      </w:r>
      <w:r w:rsidRPr="00396F70">
        <w:rPr>
          <w:b/>
          <w:sz w:val="24"/>
          <w:szCs w:val="24"/>
        </w:rPr>
        <w:t>Cadernos municipais de Engenheiro Beltrão</w:t>
      </w:r>
      <w:r w:rsidRPr="00396F70">
        <w:rPr>
          <w:sz w:val="24"/>
          <w:szCs w:val="24"/>
        </w:rPr>
        <w:t>. 2017.Disponível em: https://www.ipardes.pr.gov.br/Pagina/Perfil-dos-municipios-0 Acesso em: 13 ago. 2022</w:t>
      </w:r>
      <w:r w:rsidR="003948BC">
        <w:rPr>
          <w:sz w:val="24"/>
          <w:szCs w:val="24"/>
        </w:rPr>
        <w:t>.</w:t>
      </w:r>
    </w:p>
    <w:p w14:paraId="268A01D1" w14:textId="77777777" w:rsidR="003948BC" w:rsidRPr="00396F70" w:rsidRDefault="003948BC" w:rsidP="003948BC">
      <w:pPr>
        <w:spacing w:line="360" w:lineRule="auto"/>
        <w:rPr>
          <w:sz w:val="24"/>
          <w:szCs w:val="24"/>
        </w:rPr>
      </w:pPr>
    </w:p>
    <w:p w14:paraId="59CC1C74" w14:textId="77777777" w:rsidR="002C1883" w:rsidRDefault="002C188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IPARDES. INSTITUTO PARANAENSE DE DESENVOLVIMENTO ECONÔMICO E SOCIAL. </w:t>
      </w:r>
      <w:r w:rsidRPr="00396F70">
        <w:rPr>
          <w:b/>
          <w:sz w:val="24"/>
          <w:szCs w:val="24"/>
        </w:rPr>
        <w:t>Cadernos municipais de Terra Boa</w:t>
      </w:r>
      <w:r w:rsidRPr="00396F70">
        <w:rPr>
          <w:sz w:val="24"/>
          <w:szCs w:val="24"/>
        </w:rPr>
        <w:t>. 2017.Disponível em: https://www.ipardes.pr.gov.br/Pagina/Perfil-dos-municipios-0 Acesso em: 13 ago. 2022.</w:t>
      </w:r>
    </w:p>
    <w:p w14:paraId="7CD39D41" w14:textId="77777777" w:rsidR="003948BC" w:rsidRPr="00396F70" w:rsidRDefault="003948BC" w:rsidP="003948BC">
      <w:pPr>
        <w:spacing w:line="360" w:lineRule="auto"/>
        <w:rPr>
          <w:sz w:val="24"/>
          <w:szCs w:val="24"/>
        </w:rPr>
      </w:pPr>
    </w:p>
    <w:p w14:paraId="086D9365" w14:textId="77777777" w:rsidR="002C1883" w:rsidRPr="00396F70" w:rsidRDefault="002C1883" w:rsidP="003948BC">
      <w:pPr>
        <w:rPr>
          <w:bCs/>
          <w:sz w:val="24"/>
          <w:szCs w:val="24"/>
        </w:rPr>
      </w:pPr>
      <w:r w:rsidRPr="00396F70">
        <w:rPr>
          <w:bCs/>
          <w:sz w:val="24"/>
          <w:szCs w:val="24"/>
        </w:rPr>
        <w:t xml:space="preserve">MEDEIROS, J. B. </w:t>
      </w:r>
      <w:r w:rsidRPr="00396F70">
        <w:rPr>
          <w:b/>
          <w:sz w:val="24"/>
          <w:szCs w:val="24"/>
        </w:rPr>
        <w:t>Redação científica: a prática de fichamentos, resumos, resenhas.</w:t>
      </w:r>
      <w:r w:rsidRPr="00396F70">
        <w:rPr>
          <w:bCs/>
          <w:sz w:val="24"/>
          <w:szCs w:val="24"/>
        </w:rPr>
        <w:t xml:space="preserve"> 10. ed. São Paulo: Atlas, 2008.</w:t>
      </w:r>
    </w:p>
    <w:p w14:paraId="45BE1155" w14:textId="77777777" w:rsidR="00311B0C" w:rsidRDefault="00311B0C" w:rsidP="003948BC">
      <w:pPr>
        <w:rPr>
          <w:sz w:val="24"/>
          <w:szCs w:val="24"/>
        </w:rPr>
      </w:pPr>
    </w:p>
    <w:p w14:paraId="445005A4" w14:textId="77777777" w:rsidR="002C1883" w:rsidRDefault="002C188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MIRANDA, Luiz Carlos et al. </w:t>
      </w:r>
      <w:r w:rsidRPr="00396F70">
        <w:rPr>
          <w:b/>
          <w:sz w:val="24"/>
          <w:szCs w:val="24"/>
        </w:rPr>
        <w:t>Análise financeira da Demonstração do Valor Adicionado (DVA) das empresas do setor elétrico brasileiro</w:t>
      </w:r>
      <w:r w:rsidRPr="00396F70">
        <w:rPr>
          <w:sz w:val="24"/>
          <w:szCs w:val="24"/>
        </w:rPr>
        <w:t>. Contabilidade Vista &amp; Revista, Belo Horizonte, v.13, n.3. dez. 2002.</w:t>
      </w:r>
    </w:p>
    <w:p w14:paraId="6D0385EE" w14:textId="77777777" w:rsidR="003948BC" w:rsidRPr="00396F70" w:rsidRDefault="003948BC" w:rsidP="003948BC">
      <w:pPr>
        <w:rPr>
          <w:sz w:val="24"/>
          <w:szCs w:val="24"/>
        </w:rPr>
      </w:pPr>
    </w:p>
    <w:p w14:paraId="77AD5D70" w14:textId="44D21641" w:rsidR="002C1883" w:rsidRDefault="002C188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ROSADO, P. L.; ROSSATO, M. V.; LIMA, J. E. (2009). </w:t>
      </w:r>
      <w:r w:rsidRPr="00396F70">
        <w:rPr>
          <w:b/>
          <w:sz w:val="24"/>
          <w:szCs w:val="24"/>
        </w:rPr>
        <w:t>Análise do Desenvolvimento Socioeconômico das Microrregiões de Minas Gerais</w:t>
      </w:r>
      <w:r w:rsidRPr="00396F70">
        <w:rPr>
          <w:sz w:val="24"/>
          <w:szCs w:val="24"/>
        </w:rPr>
        <w:t>. Revista Econômica do Nordeste, vol. 40</w:t>
      </w:r>
      <w:r w:rsidR="00396F70" w:rsidRPr="00396F70">
        <w:rPr>
          <w:sz w:val="24"/>
          <w:szCs w:val="24"/>
        </w:rPr>
        <w:t>.</w:t>
      </w:r>
    </w:p>
    <w:p w14:paraId="4679E6B7" w14:textId="77777777" w:rsidR="003948BC" w:rsidRPr="00396F70" w:rsidRDefault="003948BC" w:rsidP="003948BC">
      <w:pPr>
        <w:rPr>
          <w:sz w:val="24"/>
          <w:szCs w:val="24"/>
        </w:rPr>
      </w:pPr>
    </w:p>
    <w:p w14:paraId="340D5BD6" w14:textId="40B7E934" w:rsidR="00F56663" w:rsidRDefault="00F56663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 xml:space="preserve">SANTOS, L.P; LIMA, </w:t>
      </w:r>
      <w:proofErr w:type="gramStart"/>
      <w:r w:rsidRPr="00396F70">
        <w:rPr>
          <w:sz w:val="24"/>
          <w:szCs w:val="24"/>
        </w:rPr>
        <w:t>J.F. .DESENVOLVIMENTO</w:t>
      </w:r>
      <w:proofErr w:type="gramEnd"/>
      <w:r w:rsidRPr="00396F70">
        <w:rPr>
          <w:sz w:val="24"/>
          <w:szCs w:val="24"/>
        </w:rPr>
        <w:t xml:space="preserve"> ECONÔMICO LOCAL EM ASSIS CHATEAUBRIAND-</w:t>
      </w:r>
      <w:proofErr w:type="spellStart"/>
      <w:r w:rsidRPr="00396F70">
        <w:rPr>
          <w:sz w:val="24"/>
          <w:szCs w:val="24"/>
        </w:rPr>
        <w:t>PRDRd</w:t>
      </w:r>
      <w:proofErr w:type="spellEnd"/>
      <w:r w:rsidRPr="00396F70">
        <w:rPr>
          <w:sz w:val="24"/>
          <w:szCs w:val="24"/>
        </w:rPr>
        <w:t xml:space="preserve"> – </w:t>
      </w:r>
      <w:r w:rsidRPr="00396F70">
        <w:rPr>
          <w:b/>
          <w:sz w:val="24"/>
          <w:szCs w:val="24"/>
        </w:rPr>
        <w:t>Desenvolvimento Regional em debate</w:t>
      </w:r>
      <w:r w:rsidRPr="00396F70">
        <w:rPr>
          <w:sz w:val="24"/>
          <w:szCs w:val="24"/>
        </w:rPr>
        <w:t xml:space="preserve"> (</w:t>
      </w:r>
      <w:proofErr w:type="spellStart"/>
      <w:r w:rsidRPr="00396F70">
        <w:rPr>
          <w:sz w:val="24"/>
          <w:szCs w:val="24"/>
        </w:rPr>
        <w:t>ISSNe</w:t>
      </w:r>
      <w:proofErr w:type="spellEnd"/>
      <w:r w:rsidRPr="00396F70">
        <w:rPr>
          <w:sz w:val="24"/>
          <w:szCs w:val="24"/>
        </w:rPr>
        <w:t xml:space="preserve"> 2237-9029) v. 5, n. 1, p. 180-200, jan./jun. 2015.</w:t>
      </w:r>
    </w:p>
    <w:p w14:paraId="671AE187" w14:textId="77777777" w:rsidR="003948BC" w:rsidRPr="00396F70" w:rsidRDefault="003948BC" w:rsidP="003948BC">
      <w:pPr>
        <w:rPr>
          <w:sz w:val="24"/>
          <w:szCs w:val="24"/>
        </w:rPr>
      </w:pPr>
    </w:p>
    <w:p w14:paraId="65BDA756" w14:textId="3EE50578" w:rsidR="00837900" w:rsidRPr="00396F70" w:rsidRDefault="00837900" w:rsidP="003948BC">
      <w:pPr>
        <w:rPr>
          <w:sz w:val="24"/>
          <w:szCs w:val="24"/>
        </w:rPr>
      </w:pPr>
      <w:r w:rsidRPr="00396F70">
        <w:rPr>
          <w:sz w:val="24"/>
          <w:szCs w:val="24"/>
        </w:rPr>
        <w:t>TAVARES, J. M.; PORTO JUNIOR, S. S. (2008)</w:t>
      </w:r>
      <w:r w:rsidR="00396F70" w:rsidRPr="00396F70">
        <w:rPr>
          <w:sz w:val="24"/>
          <w:szCs w:val="24"/>
        </w:rPr>
        <w:t>.</w:t>
      </w:r>
      <w:r w:rsidRPr="00396F70">
        <w:rPr>
          <w:sz w:val="24"/>
          <w:szCs w:val="24"/>
        </w:rPr>
        <w:t xml:space="preserve"> </w:t>
      </w:r>
      <w:r w:rsidRPr="00396F70">
        <w:rPr>
          <w:b/>
          <w:sz w:val="24"/>
          <w:szCs w:val="24"/>
        </w:rPr>
        <w:t xml:space="preserve">Desigualdades </w:t>
      </w:r>
      <w:proofErr w:type="spellStart"/>
      <w:r w:rsidRPr="00396F70">
        <w:rPr>
          <w:b/>
          <w:sz w:val="24"/>
          <w:szCs w:val="24"/>
        </w:rPr>
        <w:t>intra</w:t>
      </w:r>
      <w:proofErr w:type="spellEnd"/>
      <w:r w:rsidRPr="00396F70">
        <w:rPr>
          <w:b/>
          <w:sz w:val="24"/>
          <w:szCs w:val="24"/>
        </w:rPr>
        <w:t xml:space="preserve"> e inter-</w:t>
      </w:r>
      <w:r w:rsidR="00193774" w:rsidRPr="00396F70">
        <w:rPr>
          <w:b/>
          <w:sz w:val="24"/>
          <w:szCs w:val="24"/>
        </w:rPr>
        <w:t>r</w:t>
      </w:r>
      <w:r w:rsidRPr="00396F70">
        <w:rPr>
          <w:b/>
          <w:sz w:val="24"/>
          <w:szCs w:val="24"/>
        </w:rPr>
        <w:t>egionais em Santa Catarina: uma análise multivariada</w:t>
      </w:r>
      <w:r w:rsidRPr="00396F70">
        <w:rPr>
          <w:sz w:val="24"/>
          <w:szCs w:val="24"/>
        </w:rPr>
        <w:t>. Encontro Regional</w:t>
      </w:r>
      <w:r w:rsidR="00940909" w:rsidRPr="00396F70">
        <w:rPr>
          <w:sz w:val="24"/>
          <w:szCs w:val="24"/>
        </w:rPr>
        <w:t xml:space="preserve"> </w:t>
      </w:r>
      <w:r w:rsidRPr="00396F70">
        <w:rPr>
          <w:sz w:val="24"/>
          <w:szCs w:val="24"/>
        </w:rPr>
        <w:t>de Economia ANPEC Sul, 11. Curitiba.</w:t>
      </w:r>
    </w:p>
    <w:p w14:paraId="542DC055" w14:textId="77777777" w:rsidR="00662EEB" w:rsidRDefault="00662EEB" w:rsidP="003948BC">
      <w:pPr>
        <w:spacing w:line="360" w:lineRule="auto"/>
        <w:ind w:firstLine="709"/>
        <w:rPr>
          <w:color w:val="FF0000"/>
          <w:sz w:val="24"/>
          <w:szCs w:val="24"/>
        </w:rPr>
      </w:pPr>
    </w:p>
    <w:p w14:paraId="0F6A4DD3" w14:textId="77777777" w:rsidR="002E72ED" w:rsidRDefault="002E72ED" w:rsidP="003948BC">
      <w:pPr>
        <w:spacing w:line="360" w:lineRule="auto"/>
        <w:ind w:firstLine="709"/>
        <w:rPr>
          <w:sz w:val="24"/>
          <w:szCs w:val="24"/>
        </w:rPr>
      </w:pPr>
    </w:p>
    <w:p w14:paraId="647DDD8D" w14:textId="77777777" w:rsidR="002E72ED" w:rsidRPr="002E72ED" w:rsidRDefault="002E72ED" w:rsidP="003948BC">
      <w:pPr>
        <w:spacing w:line="360" w:lineRule="auto"/>
        <w:ind w:firstLine="709"/>
        <w:rPr>
          <w:sz w:val="24"/>
          <w:szCs w:val="24"/>
        </w:rPr>
      </w:pPr>
    </w:p>
    <w:sectPr w:rsidR="002E72ED" w:rsidRPr="002E72ED" w:rsidSect="00262AC4">
      <w:headerReference w:type="default" r:id="rId14"/>
      <w:footerReference w:type="default" r:id="rId15"/>
      <w:type w:val="continuous"/>
      <w:pgSz w:w="11906" w:h="16838"/>
      <w:pgMar w:top="1701" w:right="1134" w:bottom="1134" w:left="1701" w:header="709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180A" w14:textId="77777777" w:rsidR="00070259" w:rsidRDefault="00070259">
      <w:r>
        <w:separator/>
      </w:r>
    </w:p>
  </w:endnote>
  <w:endnote w:type="continuationSeparator" w:id="0">
    <w:p w14:paraId="3B772C03" w14:textId="77777777" w:rsidR="00070259" w:rsidRDefault="000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7DF2" w14:textId="77777777" w:rsidR="004D1CF2" w:rsidRDefault="004D1CF2">
    <w:pPr>
      <w:pStyle w:val="Rodap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C4BB69B" wp14:editId="3FA93033">
          <wp:simplePos x="0" y="0"/>
          <wp:positionH relativeFrom="column">
            <wp:posOffset>3091815</wp:posOffset>
          </wp:positionH>
          <wp:positionV relativeFrom="paragraph">
            <wp:posOffset>-38735</wp:posOffset>
          </wp:positionV>
          <wp:extent cx="1085850" cy="464820"/>
          <wp:effectExtent l="0" t="0" r="0" b="0"/>
          <wp:wrapNone/>
          <wp:docPr id="1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8AAF0D6" wp14:editId="30E6398E">
          <wp:simplePos x="0" y="0"/>
          <wp:positionH relativeFrom="column">
            <wp:posOffset>-32385</wp:posOffset>
          </wp:positionH>
          <wp:positionV relativeFrom="paragraph">
            <wp:posOffset>-13970</wp:posOffset>
          </wp:positionV>
          <wp:extent cx="2276475" cy="40195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B3AC113" wp14:editId="680DAA20">
          <wp:simplePos x="0" y="0"/>
          <wp:positionH relativeFrom="column">
            <wp:posOffset>1076325</wp:posOffset>
          </wp:positionH>
          <wp:positionV relativeFrom="paragraph">
            <wp:posOffset>3248025</wp:posOffset>
          </wp:positionV>
          <wp:extent cx="1647190" cy="704850"/>
          <wp:effectExtent l="0" t="0" r="0" b="0"/>
          <wp:wrapNone/>
          <wp:docPr id="7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834227">
      <w:rPr>
        <w:rFonts w:ascii="Arial" w:hAnsi="Arial" w:cs="Arial"/>
        <w:b/>
        <w:bCs/>
        <w:noProof/>
        <w:sz w:val="20"/>
        <w:szCs w:val="20"/>
      </w:rPr>
      <w:t>14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834227">
      <w:rPr>
        <w:rFonts w:ascii="Arial" w:hAnsi="Arial" w:cs="Arial"/>
        <w:b/>
        <w:bCs/>
        <w:noProof/>
        <w:sz w:val="20"/>
        <w:szCs w:val="20"/>
      </w:rPr>
      <w:t>14</w:t>
    </w:r>
    <w:r>
      <w:rPr>
        <w:rFonts w:ascii="Arial" w:hAnsi="Arial" w:cs="Arial"/>
        <w:b/>
        <w:bCs/>
        <w:sz w:val="20"/>
        <w:szCs w:val="20"/>
      </w:rPr>
      <w:fldChar w:fldCharType="end"/>
    </w:r>
  </w:p>
  <w:p w14:paraId="28805B99" w14:textId="77777777" w:rsidR="004D1CF2" w:rsidRDefault="004D1C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42F2" w14:textId="77777777" w:rsidR="00070259" w:rsidRDefault="00070259">
      <w:r>
        <w:separator/>
      </w:r>
    </w:p>
  </w:footnote>
  <w:footnote w:type="continuationSeparator" w:id="0">
    <w:p w14:paraId="52EF84CB" w14:textId="77777777" w:rsidR="00070259" w:rsidRDefault="0007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E610" w14:textId="77777777" w:rsidR="004D1CF2" w:rsidRDefault="004D1CF2">
    <w:pPr>
      <w:pStyle w:val="Cabealho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B553094" wp14:editId="4E3564B9">
          <wp:simplePos x="0" y="0"/>
          <wp:positionH relativeFrom="column">
            <wp:posOffset>5138420</wp:posOffset>
          </wp:positionH>
          <wp:positionV relativeFrom="paragraph">
            <wp:posOffset>-247650</wp:posOffset>
          </wp:positionV>
          <wp:extent cx="620395" cy="740410"/>
          <wp:effectExtent l="0" t="0" r="0" b="0"/>
          <wp:wrapNone/>
          <wp:docPr id="2" name="Imagem 3" descr="Descrição: logo unesp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 unespa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165E791" wp14:editId="6D71A820">
          <wp:simplePos x="0" y="0"/>
          <wp:positionH relativeFrom="column">
            <wp:posOffset>-3175</wp:posOffset>
          </wp:positionH>
          <wp:positionV relativeFrom="paragraph">
            <wp:posOffset>-134620</wp:posOffset>
          </wp:positionV>
          <wp:extent cx="1351915" cy="579755"/>
          <wp:effectExtent l="0" t="0" r="0" b="0"/>
          <wp:wrapNone/>
          <wp:docPr id="6" name="Imagem 1" descr="Unespar_Logos Pró-Reitorias_PRPPG_Se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espar_Logos Pró-Reitorias_PRPPG_Sem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1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A7F65"/>
    <w:multiLevelType w:val="hybridMultilevel"/>
    <w:tmpl w:val="14708F96"/>
    <w:lvl w:ilvl="0" w:tplc="04160001">
      <w:numFmt w:val="decimal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FB"/>
    <w:rsid w:val="0000008D"/>
    <w:rsid w:val="00003537"/>
    <w:rsid w:val="000060CA"/>
    <w:rsid w:val="000062D1"/>
    <w:rsid w:val="0002136E"/>
    <w:rsid w:val="00025B70"/>
    <w:rsid w:val="00031F50"/>
    <w:rsid w:val="00032FF5"/>
    <w:rsid w:val="00033D96"/>
    <w:rsid w:val="0003451C"/>
    <w:rsid w:val="00034B50"/>
    <w:rsid w:val="00036432"/>
    <w:rsid w:val="00036588"/>
    <w:rsid w:val="0003786F"/>
    <w:rsid w:val="000406EE"/>
    <w:rsid w:val="000434EC"/>
    <w:rsid w:val="00045368"/>
    <w:rsid w:val="00045715"/>
    <w:rsid w:val="0005088C"/>
    <w:rsid w:val="0005184D"/>
    <w:rsid w:val="00054418"/>
    <w:rsid w:val="00054A54"/>
    <w:rsid w:val="00055243"/>
    <w:rsid w:val="0006252F"/>
    <w:rsid w:val="00063456"/>
    <w:rsid w:val="00064EBC"/>
    <w:rsid w:val="00066025"/>
    <w:rsid w:val="00070259"/>
    <w:rsid w:val="00073D04"/>
    <w:rsid w:val="000746F0"/>
    <w:rsid w:val="00076ACD"/>
    <w:rsid w:val="00077E78"/>
    <w:rsid w:val="0008254B"/>
    <w:rsid w:val="00084E50"/>
    <w:rsid w:val="0009079D"/>
    <w:rsid w:val="00091951"/>
    <w:rsid w:val="000938E7"/>
    <w:rsid w:val="00094C58"/>
    <w:rsid w:val="000A355F"/>
    <w:rsid w:val="000A439F"/>
    <w:rsid w:val="000B1723"/>
    <w:rsid w:val="000B1D26"/>
    <w:rsid w:val="000B4C6A"/>
    <w:rsid w:val="000C07E7"/>
    <w:rsid w:val="000C1ED8"/>
    <w:rsid w:val="000C3189"/>
    <w:rsid w:val="000C5951"/>
    <w:rsid w:val="000C7C9A"/>
    <w:rsid w:val="000D09DD"/>
    <w:rsid w:val="000D0FCD"/>
    <w:rsid w:val="000D1691"/>
    <w:rsid w:val="000D25DE"/>
    <w:rsid w:val="000D3329"/>
    <w:rsid w:val="000D7B85"/>
    <w:rsid w:val="000E107B"/>
    <w:rsid w:val="000E207B"/>
    <w:rsid w:val="000F012C"/>
    <w:rsid w:val="000F32DE"/>
    <w:rsid w:val="000F633F"/>
    <w:rsid w:val="000F69F5"/>
    <w:rsid w:val="000F76D1"/>
    <w:rsid w:val="000F7CFD"/>
    <w:rsid w:val="00101D71"/>
    <w:rsid w:val="00101EFF"/>
    <w:rsid w:val="00101F4E"/>
    <w:rsid w:val="0010429A"/>
    <w:rsid w:val="00106D02"/>
    <w:rsid w:val="00107946"/>
    <w:rsid w:val="0011061B"/>
    <w:rsid w:val="00112A22"/>
    <w:rsid w:val="001139B8"/>
    <w:rsid w:val="001152DA"/>
    <w:rsid w:val="0012348A"/>
    <w:rsid w:val="00124016"/>
    <w:rsid w:val="001249E5"/>
    <w:rsid w:val="001256D4"/>
    <w:rsid w:val="001271C6"/>
    <w:rsid w:val="00130C12"/>
    <w:rsid w:val="00133478"/>
    <w:rsid w:val="0013430F"/>
    <w:rsid w:val="001453F0"/>
    <w:rsid w:val="001506CD"/>
    <w:rsid w:val="00152F20"/>
    <w:rsid w:val="00155E65"/>
    <w:rsid w:val="001643DD"/>
    <w:rsid w:val="001647EF"/>
    <w:rsid w:val="00164917"/>
    <w:rsid w:val="0016500D"/>
    <w:rsid w:val="00165858"/>
    <w:rsid w:val="00165904"/>
    <w:rsid w:val="00166628"/>
    <w:rsid w:val="0017447C"/>
    <w:rsid w:val="00175C91"/>
    <w:rsid w:val="00176611"/>
    <w:rsid w:val="00184D1E"/>
    <w:rsid w:val="0019080D"/>
    <w:rsid w:val="00192908"/>
    <w:rsid w:val="001936BD"/>
    <w:rsid w:val="00193774"/>
    <w:rsid w:val="001950A1"/>
    <w:rsid w:val="00196B32"/>
    <w:rsid w:val="001A1BE2"/>
    <w:rsid w:val="001A1C95"/>
    <w:rsid w:val="001A5996"/>
    <w:rsid w:val="001A7A50"/>
    <w:rsid w:val="001B4606"/>
    <w:rsid w:val="001B7705"/>
    <w:rsid w:val="001B7C28"/>
    <w:rsid w:val="001B7E52"/>
    <w:rsid w:val="001C5AFA"/>
    <w:rsid w:val="001D1C93"/>
    <w:rsid w:val="001D36F7"/>
    <w:rsid w:val="001D3B0B"/>
    <w:rsid w:val="001E05F6"/>
    <w:rsid w:val="001E407E"/>
    <w:rsid w:val="001E6E1F"/>
    <w:rsid w:val="001E7A6B"/>
    <w:rsid w:val="001F281A"/>
    <w:rsid w:val="001F2AE0"/>
    <w:rsid w:val="001F2FD8"/>
    <w:rsid w:val="001F6D78"/>
    <w:rsid w:val="001F7EE5"/>
    <w:rsid w:val="00201AFE"/>
    <w:rsid w:val="00204B87"/>
    <w:rsid w:val="00205287"/>
    <w:rsid w:val="00206BB7"/>
    <w:rsid w:val="00210999"/>
    <w:rsid w:val="00211927"/>
    <w:rsid w:val="00213959"/>
    <w:rsid w:val="0021528F"/>
    <w:rsid w:val="002166BA"/>
    <w:rsid w:val="0022282D"/>
    <w:rsid w:val="002302B7"/>
    <w:rsid w:val="00232357"/>
    <w:rsid w:val="00237AB7"/>
    <w:rsid w:val="00242DBF"/>
    <w:rsid w:val="002457A3"/>
    <w:rsid w:val="0024606D"/>
    <w:rsid w:val="00252675"/>
    <w:rsid w:val="00254B7A"/>
    <w:rsid w:val="00256D02"/>
    <w:rsid w:val="00256F78"/>
    <w:rsid w:val="00257767"/>
    <w:rsid w:val="00262AC4"/>
    <w:rsid w:val="002639E8"/>
    <w:rsid w:val="002656B9"/>
    <w:rsid w:val="00281F84"/>
    <w:rsid w:val="002862F2"/>
    <w:rsid w:val="0028718C"/>
    <w:rsid w:val="002906B4"/>
    <w:rsid w:val="00291C71"/>
    <w:rsid w:val="00294368"/>
    <w:rsid w:val="00297569"/>
    <w:rsid w:val="00297ED1"/>
    <w:rsid w:val="002A1221"/>
    <w:rsid w:val="002A20C6"/>
    <w:rsid w:val="002A5140"/>
    <w:rsid w:val="002A5C12"/>
    <w:rsid w:val="002A79F8"/>
    <w:rsid w:val="002B40E9"/>
    <w:rsid w:val="002B416E"/>
    <w:rsid w:val="002C0283"/>
    <w:rsid w:val="002C1883"/>
    <w:rsid w:val="002C1A69"/>
    <w:rsid w:val="002C51ED"/>
    <w:rsid w:val="002C6A23"/>
    <w:rsid w:val="002D0276"/>
    <w:rsid w:val="002D0EA9"/>
    <w:rsid w:val="002D10A8"/>
    <w:rsid w:val="002D1C11"/>
    <w:rsid w:val="002D267D"/>
    <w:rsid w:val="002D3C4D"/>
    <w:rsid w:val="002D548C"/>
    <w:rsid w:val="002E015B"/>
    <w:rsid w:val="002E024C"/>
    <w:rsid w:val="002E1207"/>
    <w:rsid w:val="002E1DD6"/>
    <w:rsid w:val="002E55DA"/>
    <w:rsid w:val="002E72ED"/>
    <w:rsid w:val="002F1BB1"/>
    <w:rsid w:val="002F56B2"/>
    <w:rsid w:val="002F79E1"/>
    <w:rsid w:val="0030058F"/>
    <w:rsid w:val="00300E2C"/>
    <w:rsid w:val="00301856"/>
    <w:rsid w:val="003049F0"/>
    <w:rsid w:val="00310D5B"/>
    <w:rsid w:val="00310FCE"/>
    <w:rsid w:val="00311B0C"/>
    <w:rsid w:val="00320902"/>
    <w:rsid w:val="0033155C"/>
    <w:rsid w:val="00331BFC"/>
    <w:rsid w:val="00335E5B"/>
    <w:rsid w:val="00337DA6"/>
    <w:rsid w:val="003409A3"/>
    <w:rsid w:val="00340F2D"/>
    <w:rsid w:val="00344671"/>
    <w:rsid w:val="003466BA"/>
    <w:rsid w:val="003467E7"/>
    <w:rsid w:val="0035260A"/>
    <w:rsid w:val="00357050"/>
    <w:rsid w:val="00362326"/>
    <w:rsid w:val="003644C2"/>
    <w:rsid w:val="00364A62"/>
    <w:rsid w:val="00365602"/>
    <w:rsid w:val="00366533"/>
    <w:rsid w:val="00366743"/>
    <w:rsid w:val="0036737C"/>
    <w:rsid w:val="0036792B"/>
    <w:rsid w:val="00370C81"/>
    <w:rsid w:val="00381049"/>
    <w:rsid w:val="00383ACB"/>
    <w:rsid w:val="003948BC"/>
    <w:rsid w:val="003957A0"/>
    <w:rsid w:val="00396880"/>
    <w:rsid w:val="00396F70"/>
    <w:rsid w:val="003A03C2"/>
    <w:rsid w:val="003A605C"/>
    <w:rsid w:val="003B151D"/>
    <w:rsid w:val="003B3743"/>
    <w:rsid w:val="003B66DC"/>
    <w:rsid w:val="003B7251"/>
    <w:rsid w:val="003C1948"/>
    <w:rsid w:val="003C57DB"/>
    <w:rsid w:val="003C64C2"/>
    <w:rsid w:val="003C74CC"/>
    <w:rsid w:val="003C79A3"/>
    <w:rsid w:val="003D0210"/>
    <w:rsid w:val="003D152F"/>
    <w:rsid w:val="003D3A6B"/>
    <w:rsid w:val="003D4460"/>
    <w:rsid w:val="003D525E"/>
    <w:rsid w:val="003D5921"/>
    <w:rsid w:val="003D7657"/>
    <w:rsid w:val="003E134F"/>
    <w:rsid w:val="003E20EC"/>
    <w:rsid w:val="003E57EE"/>
    <w:rsid w:val="003E5887"/>
    <w:rsid w:val="003E60A3"/>
    <w:rsid w:val="003E7336"/>
    <w:rsid w:val="003E7721"/>
    <w:rsid w:val="003F14B9"/>
    <w:rsid w:val="003F2A1A"/>
    <w:rsid w:val="00400F27"/>
    <w:rsid w:val="0040381D"/>
    <w:rsid w:val="00405587"/>
    <w:rsid w:val="00406208"/>
    <w:rsid w:val="00407A95"/>
    <w:rsid w:val="00411255"/>
    <w:rsid w:val="00411538"/>
    <w:rsid w:val="00416147"/>
    <w:rsid w:val="00420E81"/>
    <w:rsid w:val="00420F67"/>
    <w:rsid w:val="00421C41"/>
    <w:rsid w:val="004239E2"/>
    <w:rsid w:val="00423C21"/>
    <w:rsid w:val="00427AB3"/>
    <w:rsid w:val="00434AC8"/>
    <w:rsid w:val="004362EB"/>
    <w:rsid w:val="0044016C"/>
    <w:rsid w:val="00444629"/>
    <w:rsid w:val="004516D7"/>
    <w:rsid w:val="00451890"/>
    <w:rsid w:val="00455CB0"/>
    <w:rsid w:val="00456944"/>
    <w:rsid w:val="00457339"/>
    <w:rsid w:val="004602E3"/>
    <w:rsid w:val="0046188B"/>
    <w:rsid w:val="004637C2"/>
    <w:rsid w:val="004678AD"/>
    <w:rsid w:val="00473825"/>
    <w:rsid w:val="00474E98"/>
    <w:rsid w:val="00475973"/>
    <w:rsid w:val="00484919"/>
    <w:rsid w:val="0048688C"/>
    <w:rsid w:val="00491347"/>
    <w:rsid w:val="004A74B1"/>
    <w:rsid w:val="004B1D21"/>
    <w:rsid w:val="004B6485"/>
    <w:rsid w:val="004C112F"/>
    <w:rsid w:val="004C1298"/>
    <w:rsid w:val="004C74E9"/>
    <w:rsid w:val="004C7995"/>
    <w:rsid w:val="004C7D3A"/>
    <w:rsid w:val="004D1CF2"/>
    <w:rsid w:val="004D38F7"/>
    <w:rsid w:val="004D60B1"/>
    <w:rsid w:val="004E010A"/>
    <w:rsid w:val="004E1A02"/>
    <w:rsid w:val="004E1F95"/>
    <w:rsid w:val="004E7487"/>
    <w:rsid w:val="004F73E7"/>
    <w:rsid w:val="005014F8"/>
    <w:rsid w:val="005019EF"/>
    <w:rsid w:val="0050343D"/>
    <w:rsid w:val="00511245"/>
    <w:rsid w:val="0051315A"/>
    <w:rsid w:val="005137B6"/>
    <w:rsid w:val="0051671F"/>
    <w:rsid w:val="0053067C"/>
    <w:rsid w:val="00537F89"/>
    <w:rsid w:val="00540FFB"/>
    <w:rsid w:val="00541F74"/>
    <w:rsid w:val="005427B9"/>
    <w:rsid w:val="0054393C"/>
    <w:rsid w:val="005524DE"/>
    <w:rsid w:val="005538E8"/>
    <w:rsid w:val="00554E53"/>
    <w:rsid w:val="0055739C"/>
    <w:rsid w:val="00562023"/>
    <w:rsid w:val="00562E25"/>
    <w:rsid w:val="00562E55"/>
    <w:rsid w:val="0056492A"/>
    <w:rsid w:val="00566F56"/>
    <w:rsid w:val="00567662"/>
    <w:rsid w:val="00570E1F"/>
    <w:rsid w:val="005762C4"/>
    <w:rsid w:val="00585B8F"/>
    <w:rsid w:val="0058691A"/>
    <w:rsid w:val="00587938"/>
    <w:rsid w:val="00587DBF"/>
    <w:rsid w:val="00590447"/>
    <w:rsid w:val="00592156"/>
    <w:rsid w:val="005966AB"/>
    <w:rsid w:val="005A3F96"/>
    <w:rsid w:val="005A6E12"/>
    <w:rsid w:val="005B4075"/>
    <w:rsid w:val="005C0533"/>
    <w:rsid w:val="005C1435"/>
    <w:rsid w:val="005C1C4E"/>
    <w:rsid w:val="005C532F"/>
    <w:rsid w:val="005C73FA"/>
    <w:rsid w:val="005D3E97"/>
    <w:rsid w:val="005D6194"/>
    <w:rsid w:val="005E289F"/>
    <w:rsid w:val="005E3DA7"/>
    <w:rsid w:val="005E6DF8"/>
    <w:rsid w:val="005E725F"/>
    <w:rsid w:val="005F5C52"/>
    <w:rsid w:val="005F6E58"/>
    <w:rsid w:val="00603B6D"/>
    <w:rsid w:val="0060639C"/>
    <w:rsid w:val="00610311"/>
    <w:rsid w:val="006113A0"/>
    <w:rsid w:val="00612CA3"/>
    <w:rsid w:val="00613F37"/>
    <w:rsid w:val="00614A01"/>
    <w:rsid w:val="00615032"/>
    <w:rsid w:val="00617D85"/>
    <w:rsid w:val="0062270F"/>
    <w:rsid w:val="00625F66"/>
    <w:rsid w:val="00627A18"/>
    <w:rsid w:val="00627D88"/>
    <w:rsid w:val="00630A09"/>
    <w:rsid w:val="006321DA"/>
    <w:rsid w:val="006334D4"/>
    <w:rsid w:val="00642ABC"/>
    <w:rsid w:val="00642E85"/>
    <w:rsid w:val="006525FB"/>
    <w:rsid w:val="006526E1"/>
    <w:rsid w:val="00653CA8"/>
    <w:rsid w:val="00657F18"/>
    <w:rsid w:val="00662EEB"/>
    <w:rsid w:val="00663216"/>
    <w:rsid w:val="00667A81"/>
    <w:rsid w:val="00674FC3"/>
    <w:rsid w:val="006758DA"/>
    <w:rsid w:val="006763DD"/>
    <w:rsid w:val="00681E07"/>
    <w:rsid w:val="0068297F"/>
    <w:rsid w:val="00683037"/>
    <w:rsid w:val="0068764B"/>
    <w:rsid w:val="00690166"/>
    <w:rsid w:val="006A2C5F"/>
    <w:rsid w:val="006A3CEF"/>
    <w:rsid w:val="006A40DC"/>
    <w:rsid w:val="006A65D7"/>
    <w:rsid w:val="006B4191"/>
    <w:rsid w:val="006C3927"/>
    <w:rsid w:val="006C4FD2"/>
    <w:rsid w:val="006C6124"/>
    <w:rsid w:val="006D0FDB"/>
    <w:rsid w:val="006D47DD"/>
    <w:rsid w:val="006D4CDB"/>
    <w:rsid w:val="006D5608"/>
    <w:rsid w:val="006D6897"/>
    <w:rsid w:val="006D695B"/>
    <w:rsid w:val="006D6FC8"/>
    <w:rsid w:val="006D7C43"/>
    <w:rsid w:val="006D7DF6"/>
    <w:rsid w:val="006E1FFB"/>
    <w:rsid w:val="006E2991"/>
    <w:rsid w:val="006E3FF7"/>
    <w:rsid w:val="006E602C"/>
    <w:rsid w:val="006F34A4"/>
    <w:rsid w:val="006F3B9B"/>
    <w:rsid w:val="006F7561"/>
    <w:rsid w:val="0070166F"/>
    <w:rsid w:val="00710F00"/>
    <w:rsid w:val="0071498F"/>
    <w:rsid w:val="007171BC"/>
    <w:rsid w:val="007202E7"/>
    <w:rsid w:val="00721FC1"/>
    <w:rsid w:val="00724ADA"/>
    <w:rsid w:val="0073565C"/>
    <w:rsid w:val="00735A9E"/>
    <w:rsid w:val="00735F5F"/>
    <w:rsid w:val="00736D09"/>
    <w:rsid w:val="00737775"/>
    <w:rsid w:val="00740093"/>
    <w:rsid w:val="0075325C"/>
    <w:rsid w:val="007535A2"/>
    <w:rsid w:val="00755744"/>
    <w:rsid w:val="00757165"/>
    <w:rsid w:val="00766093"/>
    <w:rsid w:val="007700BB"/>
    <w:rsid w:val="007706A6"/>
    <w:rsid w:val="00772A1E"/>
    <w:rsid w:val="007804AC"/>
    <w:rsid w:val="007812D1"/>
    <w:rsid w:val="007842BF"/>
    <w:rsid w:val="007868A7"/>
    <w:rsid w:val="00787148"/>
    <w:rsid w:val="00787546"/>
    <w:rsid w:val="00787834"/>
    <w:rsid w:val="00793581"/>
    <w:rsid w:val="00793A3B"/>
    <w:rsid w:val="007952F2"/>
    <w:rsid w:val="007A1981"/>
    <w:rsid w:val="007A7389"/>
    <w:rsid w:val="007B2F34"/>
    <w:rsid w:val="007B2F84"/>
    <w:rsid w:val="007B6153"/>
    <w:rsid w:val="007C1A4F"/>
    <w:rsid w:val="007C2500"/>
    <w:rsid w:val="007D41BB"/>
    <w:rsid w:val="007D53BA"/>
    <w:rsid w:val="007D7852"/>
    <w:rsid w:val="007E05ED"/>
    <w:rsid w:val="007E1145"/>
    <w:rsid w:val="007E5858"/>
    <w:rsid w:val="007F09D3"/>
    <w:rsid w:val="007F4FDD"/>
    <w:rsid w:val="007F6E79"/>
    <w:rsid w:val="008017EB"/>
    <w:rsid w:val="008024E5"/>
    <w:rsid w:val="00807DE1"/>
    <w:rsid w:val="00811A9C"/>
    <w:rsid w:val="00812D59"/>
    <w:rsid w:val="00817DE4"/>
    <w:rsid w:val="00823B32"/>
    <w:rsid w:val="00824F38"/>
    <w:rsid w:val="008254D4"/>
    <w:rsid w:val="00825FEE"/>
    <w:rsid w:val="0082650F"/>
    <w:rsid w:val="00826C63"/>
    <w:rsid w:val="00831814"/>
    <w:rsid w:val="00834227"/>
    <w:rsid w:val="00835D9C"/>
    <w:rsid w:val="00837900"/>
    <w:rsid w:val="0084009C"/>
    <w:rsid w:val="00842807"/>
    <w:rsid w:val="00844503"/>
    <w:rsid w:val="0085052E"/>
    <w:rsid w:val="0085362A"/>
    <w:rsid w:val="00854822"/>
    <w:rsid w:val="0086058A"/>
    <w:rsid w:val="008620AE"/>
    <w:rsid w:val="0087293B"/>
    <w:rsid w:val="0087369F"/>
    <w:rsid w:val="00874884"/>
    <w:rsid w:val="008753FD"/>
    <w:rsid w:val="00881B70"/>
    <w:rsid w:val="008838E4"/>
    <w:rsid w:val="00887F41"/>
    <w:rsid w:val="008938E6"/>
    <w:rsid w:val="008941F6"/>
    <w:rsid w:val="008A1397"/>
    <w:rsid w:val="008A69F4"/>
    <w:rsid w:val="008B3DAB"/>
    <w:rsid w:val="008B7F1B"/>
    <w:rsid w:val="008C2126"/>
    <w:rsid w:val="008C2B7B"/>
    <w:rsid w:val="008C510E"/>
    <w:rsid w:val="008D1862"/>
    <w:rsid w:val="008D2F95"/>
    <w:rsid w:val="008D34C5"/>
    <w:rsid w:val="008D4A92"/>
    <w:rsid w:val="008D5940"/>
    <w:rsid w:val="008D7163"/>
    <w:rsid w:val="008D773B"/>
    <w:rsid w:val="008E605F"/>
    <w:rsid w:val="008E69E5"/>
    <w:rsid w:val="008E7742"/>
    <w:rsid w:val="008F1CF5"/>
    <w:rsid w:val="008F23FA"/>
    <w:rsid w:val="008F269E"/>
    <w:rsid w:val="008F2F6C"/>
    <w:rsid w:val="008F5261"/>
    <w:rsid w:val="008F629B"/>
    <w:rsid w:val="008F6F2C"/>
    <w:rsid w:val="009015BE"/>
    <w:rsid w:val="0090767E"/>
    <w:rsid w:val="00911E1B"/>
    <w:rsid w:val="009125FF"/>
    <w:rsid w:val="00912882"/>
    <w:rsid w:val="00920312"/>
    <w:rsid w:val="0092106C"/>
    <w:rsid w:val="00926BAE"/>
    <w:rsid w:val="00927459"/>
    <w:rsid w:val="009328ED"/>
    <w:rsid w:val="00933AA7"/>
    <w:rsid w:val="0093533F"/>
    <w:rsid w:val="009371BE"/>
    <w:rsid w:val="009372D9"/>
    <w:rsid w:val="00940909"/>
    <w:rsid w:val="009434DB"/>
    <w:rsid w:val="009447B5"/>
    <w:rsid w:val="009453ED"/>
    <w:rsid w:val="00947B5C"/>
    <w:rsid w:val="009558FB"/>
    <w:rsid w:val="00960D5B"/>
    <w:rsid w:val="00962C6F"/>
    <w:rsid w:val="00964299"/>
    <w:rsid w:val="00964903"/>
    <w:rsid w:val="00970D9A"/>
    <w:rsid w:val="009731CE"/>
    <w:rsid w:val="009733A0"/>
    <w:rsid w:val="00973BA8"/>
    <w:rsid w:val="00975594"/>
    <w:rsid w:val="00977516"/>
    <w:rsid w:val="00983398"/>
    <w:rsid w:val="009868B3"/>
    <w:rsid w:val="009963A1"/>
    <w:rsid w:val="009965AB"/>
    <w:rsid w:val="009A174E"/>
    <w:rsid w:val="009A6577"/>
    <w:rsid w:val="009A7977"/>
    <w:rsid w:val="009B425D"/>
    <w:rsid w:val="009B525B"/>
    <w:rsid w:val="009C4B32"/>
    <w:rsid w:val="009D33EF"/>
    <w:rsid w:val="009D4AD3"/>
    <w:rsid w:val="009D4D34"/>
    <w:rsid w:val="009D6DAD"/>
    <w:rsid w:val="009E1764"/>
    <w:rsid w:val="009E17DD"/>
    <w:rsid w:val="009E2435"/>
    <w:rsid w:val="009E2AF9"/>
    <w:rsid w:val="009E460F"/>
    <w:rsid w:val="009E5F9C"/>
    <w:rsid w:val="009F2623"/>
    <w:rsid w:val="009F2BCE"/>
    <w:rsid w:val="009F34CB"/>
    <w:rsid w:val="009F5769"/>
    <w:rsid w:val="00A0171D"/>
    <w:rsid w:val="00A042C0"/>
    <w:rsid w:val="00A10F84"/>
    <w:rsid w:val="00A1264D"/>
    <w:rsid w:val="00A12E7A"/>
    <w:rsid w:val="00A13BFA"/>
    <w:rsid w:val="00A24344"/>
    <w:rsid w:val="00A31446"/>
    <w:rsid w:val="00A31F66"/>
    <w:rsid w:val="00A35979"/>
    <w:rsid w:val="00A35ED1"/>
    <w:rsid w:val="00A365A2"/>
    <w:rsid w:val="00A36C84"/>
    <w:rsid w:val="00A37C8F"/>
    <w:rsid w:val="00A40455"/>
    <w:rsid w:val="00A406DE"/>
    <w:rsid w:val="00A432D0"/>
    <w:rsid w:val="00A44435"/>
    <w:rsid w:val="00A52095"/>
    <w:rsid w:val="00A55B3D"/>
    <w:rsid w:val="00A63B9C"/>
    <w:rsid w:val="00A648F5"/>
    <w:rsid w:val="00A64D24"/>
    <w:rsid w:val="00A70559"/>
    <w:rsid w:val="00A75610"/>
    <w:rsid w:val="00A775FC"/>
    <w:rsid w:val="00A846F8"/>
    <w:rsid w:val="00A86F78"/>
    <w:rsid w:val="00A92625"/>
    <w:rsid w:val="00A96C34"/>
    <w:rsid w:val="00AA1C41"/>
    <w:rsid w:val="00AA2579"/>
    <w:rsid w:val="00AA28C8"/>
    <w:rsid w:val="00AA2D33"/>
    <w:rsid w:val="00AA36F7"/>
    <w:rsid w:val="00AB4CA7"/>
    <w:rsid w:val="00AB6A4E"/>
    <w:rsid w:val="00AC1C45"/>
    <w:rsid w:val="00AD47FF"/>
    <w:rsid w:val="00AD5C2F"/>
    <w:rsid w:val="00AD5DE1"/>
    <w:rsid w:val="00AD5EB1"/>
    <w:rsid w:val="00AD7F30"/>
    <w:rsid w:val="00AE22AE"/>
    <w:rsid w:val="00AE2337"/>
    <w:rsid w:val="00AE2701"/>
    <w:rsid w:val="00AE3B42"/>
    <w:rsid w:val="00AE3EED"/>
    <w:rsid w:val="00AE5ADE"/>
    <w:rsid w:val="00B02FB5"/>
    <w:rsid w:val="00B05655"/>
    <w:rsid w:val="00B078FB"/>
    <w:rsid w:val="00B1186D"/>
    <w:rsid w:val="00B11C3A"/>
    <w:rsid w:val="00B13249"/>
    <w:rsid w:val="00B1367C"/>
    <w:rsid w:val="00B158F4"/>
    <w:rsid w:val="00B20634"/>
    <w:rsid w:val="00B31DF2"/>
    <w:rsid w:val="00B32A1B"/>
    <w:rsid w:val="00B34A8D"/>
    <w:rsid w:val="00B36579"/>
    <w:rsid w:val="00B40314"/>
    <w:rsid w:val="00B40B38"/>
    <w:rsid w:val="00B41339"/>
    <w:rsid w:val="00B447C6"/>
    <w:rsid w:val="00B45964"/>
    <w:rsid w:val="00B45C0B"/>
    <w:rsid w:val="00B47218"/>
    <w:rsid w:val="00B512EE"/>
    <w:rsid w:val="00B51667"/>
    <w:rsid w:val="00B525FA"/>
    <w:rsid w:val="00B52E62"/>
    <w:rsid w:val="00B532EA"/>
    <w:rsid w:val="00B5648A"/>
    <w:rsid w:val="00B603EA"/>
    <w:rsid w:val="00B620B6"/>
    <w:rsid w:val="00B65CB4"/>
    <w:rsid w:val="00B6647A"/>
    <w:rsid w:val="00B668B3"/>
    <w:rsid w:val="00B700AA"/>
    <w:rsid w:val="00B7138F"/>
    <w:rsid w:val="00B71538"/>
    <w:rsid w:val="00B91CE3"/>
    <w:rsid w:val="00B92AAB"/>
    <w:rsid w:val="00BA4CE0"/>
    <w:rsid w:val="00BB10ED"/>
    <w:rsid w:val="00BB1887"/>
    <w:rsid w:val="00BB3273"/>
    <w:rsid w:val="00BB5E33"/>
    <w:rsid w:val="00BB6A09"/>
    <w:rsid w:val="00BC046D"/>
    <w:rsid w:val="00BC1848"/>
    <w:rsid w:val="00BC1C7F"/>
    <w:rsid w:val="00BC32E4"/>
    <w:rsid w:val="00BD2005"/>
    <w:rsid w:val="00BD32CD"/>
    <w:rsid w:val="00BD4630"/>
    <w:rsid w:val="00BD5183"/>
    <w:rsid w:val="00BD75FD"/>
    <w:rsid w:val="00BE7EA9"/>
    <w:rsid w:val="00BF127A"/>
    <w:rsid w:val="00BF24A9"/>
    <w:rsid w:val="00BF4784"/>
    <w:rsid w:val="00BF60D1"/>
    <w:rsid w:val="00BF7320"/>
    <w:rsid w:val="00BF76E1"/>
    <w:rsid w:val="00C001DF"/>
    <w:rsid w:val="00C0644B"/>
    <w:rsid w:val="00C13294"/>
    <w:rsid w:val="00C136C7"/>
    <w:rsid w:val="00C15109"/>
    <w:rsid w:val="00C15DA3"/>
    <w:rsid w:val="00C17C00"/>
    <w:rsid w:val="00C20B25"/>
    <w:rsid w:val="00C25E93"/>
    <w:rsid w:val="00C26A80"/>
    <w:rsid w:val="00C330C0"/>
    <w:rsid w:val="00C3334E"/>
    <w:rsid w:val="00C35417"/>
    <w:rsid w:val="00C35695"/>
    <w:rsid w:val="00C36706"/>
    <w:rsid w:val="00C36BD6"/>
    <w:rsid w:val="00C37106"/>
    <w:rsid w:val="00C40C2C"/>
    <w:rsid w:val="00C44525"/>
    <w:rsid w:val="00C45424"/>
    <w:rsid w:val="00C45DD0"/>
    <w:rsid w:val="00C54B71"/>
    <w:rsid w:val="00C5535E"/>
    <w:rsid w:val="00C61DEC"/>
    <w:rsid w:val="00C62E04"/>
    <w:rsid w:val="00C64CD3"/>
    <w:rsid w:val="00C72292"/>
    <w:rsid w:val="00C7557A"/>
    <w:rsid w:val="00C75BA6"/>
    <w:rsid w:val="00C75EF9"/>
    <w:rsid w:val="00C761AF"/>
    <w:rsid w:val="00C77712"/>
    <w:rsid w:val="00C8069D"/>
    <w:rsid w:val="00C80744"/>
    <w:rsid w:val="00C8157C"/>
    <w:rsid w:val="00C84AB3"/>
    <w:rsid w:val="00C91DC5"/>
    <w:rsid w:val="00C95B7E"/>
    <w:rsid w:val="00C97572"/>
    <w:rsid w:val="00CA0DA9"/>
    <w:rsid w:val="00CA1FB8"/>
    <w:rsid w:val="00CA2114"/>
    <w:rsid w:val="00CA40CA"/>
    <w:rsid w:val="00CA5126"/>
    <w:rsid w:val="00CA54A5"/>
    <w:rsid w:val="00CA5AC9"/>
    <w:rsid w:val="00CB29A6"/>
    <w:rsid w:val="00CC17B4"/>
    <w:rsid w:val="00CD1D90"/>
    <w:rsid w:val="00CD654B"/>
    <w:rsid w:val="00CD7653"/>
    <w:rsid w:val="00CE02EF"/>
    <w:rsid w:val="00CE53A9"/>
    <w:rsid w:val="00CF15E7"/>
    <w:rsid w:val="00CF163A"/>
    <w:rsid w:val="00CF3DA0"/>
    <w:rsid w:val="00CF457C"/>
    <w:rsid w:val="00CF5071"/>
    <w:rsid w:val="00CF62C8"/>
    <w:rsid w:val="00CF7451"/>
    <w:rsid w:val="00CF76AA"/>
    <w:rsid w:val="00D0203D"/>
    <w:rsid w:val="00D10A07"/>
    <w:rsid w:val="00D15C51"/>
    <w:rsid w:val="00D161AA"/>
    <w:rsid w:val="00D20672"/>
    <w:rsid w:val="00D2257B"/>
    <w:rsid w:val="00D22A45"/>
    <w:rsid w:val="00D240EE"/>
    <w:rsid w:val="00D26336"/>
    <w:rsid w:val="00D27AA0"/>
    <w:rsid w:val="00D27DD4"/>
    <w:rsid w:val="00D30998"/>
    <w:rsid w:val="00D316E4"/>
    <w:rsid w:val="00D31B07"/>
    <w:rsid w:val="00D34A77"/>
    <w:rsid w:val="00D359A9"/>
    <w:rsid w:val="00D366C1"/>
    <w:rsid w:val="00D369A2"/>
    <w:rsid w:val="00D36FFB"/>
    <w:rsid w:val="00D37E36"/>
    <w:rsid w:val="00D428D9"/>
    <w:rsid w:val="00D43A44"/>
    <w:rsid w:val="00D51D91"/>
    <w:rsid w:val="00D52C19"/>
    <w:rsid w:val="00D61099"/>
    <w:rsid w:val="00D63CC7"/>
    <w:rsid w:val="00D714C3"/>
    <w:rsid w:val="00D71D92"/>
    <w:rsid w:val="00D72DA9"/>
    <w:rsid w:val="00D7315A"/>
    <w:rsid w:val="00D76006"/>
    <w:rsid w:val="00D76658"/>
    <w:rsid w:val="00D7754D"/>
    <w:rsid w:val="00D8285F"/>
    <w:rsid w:val="00D83829"/>
    <w:rsid w:val="00D86D40"/>
    <w:rsid w:val="00D93C3C"/>
    <w:rsid w:val="00D966AB"/>
    <w:rsid w:val="00DA0931"/>
    <w:rsid w:val="00DA14E8"/>
    <w:rsid w:val="00DA4CC3"/>
    <w:rsid w:val="00DA531E"/>
    <w:rsid w:val="00DB04FC"/>
    <w:rsid w:val="00DB2146"/>
    <w:rsid w:val="00DB35F7"/>
    <w:rsid w:val="00DB6BCB"/>
    <w:rsid w:val="00DC5DB6"/>
    <w:rsid w:val="00DC6B68"/>
    <w:rsid w:val="00DC7025"/>
    <w:rsid w:val="00DD313D"/>
    <w:rsid w:val="00DD5DD7"/>
    <w:rsid w:val="00DD74DB"/>
    <w:rsid w:val="00DE25A3"/>
    <w:rsid w:val="00DE6C30"/>
    <w:rsid w:val="00DF05CD"/>
    <w:rsid w:val="00DF1244"/>
    <w:rsid w:val="00DF36CB"/>
    <w:rsid w:val="00DF7514"/>
    <w:rsid w:val="00DF7F50"/>
    <w:rsid w:val="00E00509"/>
    <w:rsid w:val="00E01D31"/>
    <w:rsid w:val="00E11074"/>
    <w:rsid w:val="00E11F1A"/>
    <w:rsid w:val="00E12E24"/>
    <w:rsid w:val="00E135FC"/>
    <w:rsid w:val="00E13813"/>
    <w:rsid w:val="00E14FBE"/>
    <w:rsid w:val="00E207E8"/>
    <w:rsid w:val="00E2298D"/>
    <w:rsid w:val="00E24777"/>
    <w:rsid w:val="00E25212"/>
    <w:rsid w:val="00E26C55"/>
    <w:rsid w:val="00E273E0"/>
    <w:rsid w:val="00E30E07"/>
    <w:rsid w:val="00E31094"/>
    <w:rsid w:val="00E36FBB"/>
    <w:rsid w:val="00E37D4A"/>
    <w:rsid w:val="00E454CF"/>
    <w:rsid w:val="00E45AFD"/>
    <w:rsid w:val="00E473F4"/>
    <w:rsid w:val="00E545B2"/>
    <w:rsid w:val="00E546BE"/>
    <w:rsid w:val="00E57F41"/>
    <w:rsid w:val="00E60CA3"/>
    <w:rsid w:val="00E621A9"/>
    <w:rsid w:val="00E63F0B"/>
    <w:rsid w:val="00E645F2"/>
    <w:rsid w:val="00E661A7"/>
    <w:rsid w:val="00E661AA"/>
    <w:rsid w:val="00E808F1"/>
    <w:rsid w:val="00E81C0C"/>
    <w:rsid w:val="00E844E7"/>
    <w:rsid w:val="00E84FB8"/>
    <w:rsid w:val="00E85AF6"/>
    <w:rsid w:val="00E86521"/>
    <w:rsid w:val="00EA1AA4"/>
    <w:rsid w:val="00EA315B"/>
    <w:rsid w:val="00EB12C4"/>
    <w:rsid w:val="00EC1BE2"/>
    <w:rsid w:val="00EC6F46"/>
    <w:rsid w:val="00ED606A"/>
    <w:rsid w:val="00ED7646"/>
    <w:rsid w:val="00EE30D3"/>
    <w:rsid w:val="00EE3F99"/>
    <w:rsid w:val="00EE6EE8"/>
    <w:rsid w:val="00EE6F32"/>
    <w:rsid w:val="00EF4C8E"/>
    <w:rsid w:val="00EF538F"/>
    <w:rsid w:val="00EF571C"/>
    <w:rsid w:val="00EF73C5"/>
    <w:rsid w:val="00F0245F"/>
    <w:rsid w:val="00F037E5"/>
    <w:rsid w:val="00F049C3"/>
    <w:rsid w:val="00F1551D"/>
    <w:rsid w:val="00F16217"/>
    <w:rsid w:val="00F23CEE"/>
    <w:rsid w:val="00F272F3"/>
    <w:rsid w:val="00F27307"/>
    <w:rsid w:val="00F32A2C"/>
    <w:rsid w:val="00F3594C"/>
    <w:rsid w:val="00F36810"/>
    <w:rsid w:val="00F41FBC"/>
    <w:rsid w:val="00F42B00"/>
    <w:rsid w:val="00F442C7"/>
    <w:rsid w:val="00F45964"/>
    <w:rsid w:val="00F45E55"/>
    <w:rsid w:val="00F47A51"/>
    <w:rsid w:val="00F50BCB"/>
    <w:rsid w:val="00F50D0B"/>
    <w:rsid w:val="00F50FF6"/>
    <w:rsid w:val="00F51034"/>
    <w:rsid w:val="00F5118C"/>
    <w:rsid w:val="00F52480"/>
    <w:rsid w:val="00F53257"/>
    <w:rsid w:val="00F5427A"/>
    <w:rsid w:val="00F56663"/>
    <w:rsid w:val="00F57C68"/>
    <w:rsid w:val="00F64FFA"/>
    <w:rsid w:val="00F65BFC"/>
    <w:rsid w:val="00F679A9"/>
    <w:rsid w:val="00F7382E"/>
    <w:rsid w:val="00F73E6E"/>
    <w:rsid w:val="00F769E7"/>
    <w:rsid w:val="00F7768B"/>
    <w:rsid w:val="00F827B7"/>
    <w:rsid w:val="00F83F4D"/>
    <w:rsid w:val="00F9067D"/>
    <w:rsid w:val="00F93937"/>
    <w:rsid w:val="00F95849"/>
    <w:rsid w:val="00FA2877"/>
    <w:rsid w:val="00FA58C7"/>
    <w:rsid w:val="00FA5A87"/>
    <w:rsid w:val="00FA744F"/>
    <w:rsid w:val="00FB12E2"/>
    <w:rsid w:val="00FB13DA"/>
    <w:rsid w:val="00FB2AFB"/>
    <w:rsid w:val="00FB41C8"/>
    <w:rsid w:val="00FC1666"/>
    <w:rsid w:val="00FC2A22"/>
    <w:rsid w:val="00FC7AB2"/>
    <w:rsid w:val="00FD4C45"/>
    <w:rsid w:val="00FD52EC"/>
    <w:rsid w:val="00FD5588"/>
    <w:rsid w:val="00FE0252"/>
    <w:rsid w:val="00FE20F6"/>
    <w:rsid w:val="00FE7673"/>
    <w:rsid w:val="00FE7B4F"/>
    <w:rsid w:val="00FF0D77"/>
    <w:rsid w:val="00FF1B8B"/>
    <w:rsid w:val="00FF2D55"/>
    <w:rsid w:val="00FF33C7"/>
    <w:rsid w:val="00FF345C"/>
    <w:rsid w:val="00FF434E"/>
    <w:rsid w:val="594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BA49F1"/>
  <w15:docId w15:val="{EC687794-B9BC-4BA3-BBFA-5169E60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styleId="Forte">
    <w:name w:val="Strong"/>
    <w:uiPriority w:val="99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2">
    <w:name w:val="toc 2"/>
    <w:basedOn w:val="Normal"/>
    <w:next w:val="Normal"/>
    <w:uiPriority w:val="99"/>
    <w:semiHidden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paragraph" w:styleId="Textodecomentrio">
    <w:name w:val="annotation text"/>
    <w:basedOn w:val="Normal"/>
    <w:semiHidden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link w:val="Rodap"/>
    <w:uiPriority w:val="99"/>
    <w:locked/>
    <w:rPr>
      <w:sz w:val="24"/>
      <w:szCs w:val="24"/>
    </w:rPr>
  </w:style>
  <w:style w:type="paragraph" w:styleId="Sumrio3">
    <w:name w:val="toc 3"/>
    <w:basedOn w:val="Normal"/>
    <w:next w:val="Normal"/>
    <w:uiPriority w:val="99"/>
    <w:semiHidden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</w:style>
  <w:style w:type="character" w:customStyle="1" w:styleId="TextodenotaderodapChar">
    <w:name w:val="Texto de nota de rodapé Char"/>
    <w:link w:val="Textodenotaderodap"/>
    <w:uiPriority w:val="99"/>
    <w:semiHidden/>
  </w:style>
  <w:style w:type="paragraph" w:styleId="Sumrio1">
    <w:name w:val="toc 1"/>
    <w:basedOn w:val="Normal"/>
    <w:next w:val="Normal"/>
    <w:uiPriority w:val="99"/>
    <w:semiHidden/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doSumrio1">
    <w:name w:val="Cabeçalho do Sumário1"/>
    <w:basedOn w:val="Ttulo1"/>
    <w:next w:val="Normal"/>
    <w:uiPriority w:val="99"/>
    <w:qFormat/>
    <w:pPr>
      <w:outlineLvl w:val="9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1-Texto">
    <w:name w:val="01 - Texto"/>
    <w:basedOn w:val="Normal"/>
    <w:pPr>
      <w:spacing w:line="360" w:lineRule="auto"/>
      <w:ind w:firstLine="1134"/>
      <w:jc w:val="both"/>
    </w:pPr>
    <w:rPr>
      <w:sz w:val="24"/>
    </w:rPr>
  </w:style>
  <w:style w:type="paragraph" w:customStyle="1" w:styleId="04-Referncias">
    <w:name w:val="04 - Referências"/>
    <w:basedOn w:val="Normal"/>
    <w:pPr>
      <w:spacing w:before="240" w:after="240"/>
    </w:pPr>
    <w:rPr>
      <w:sz w:val="24"/>
    </w:rPr>
  </w:style>
  <w:style w:type="paragraph" w:customStyle="1" w:styleId="4Referncias">
    <w:name w:val="4 Referências"/>
    <w:basedOn w:val="Normal"/>
    <w:pPr>
      <w:spacing w:after="240"/>
    </w:pPr>
    <w:rPr>
      <w:sz w:val="24"/>
    </w:rPr>
  </w:style>
  <w:style w:type="paragraph" w:styleId="SemEspaamento">
    <w:name w:val="No Spacing"/>
    <w:uiPriority w:val="1"/>
    <w:qFormat/>
  </w:style>
  <w:style w:type="paragraph" w:customStyle="1" w:styleId="western">
    <w:name w:val="western"/>
    <w:basedOn w:val="Normal"/>
    <w:qFormat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F571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qFormat/>
    <w:locked/>
    <w:rsid w:val="005E6D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5E6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Fontepargpadro"/>
    <w:rsid w:val="0066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hllen.gottsfritz@gmail.com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sinaldo_cardos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maybuk@unespar.edu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thllen.rodrigues\Downloads\data%20(10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thllen.rodrigues\Downloads\data%20(9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thllen.rodrigues\Downloads\data%20(1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IDH-M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Worksheet!$B$1</c:f>
              <c:strCache>
                <c:ptCount val="1"/>
                <c:pt idx="0">
                  <c:v>IDHM 1991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Worksheet!$B$2:$B$5</c:f>
              <c:numCache>
                <c:formatCode>General</c:formatCode>
                <c:ptCount val="4"/>
                <c:pt idx="0">
                  <c:v>0.50700000000000001</c:v>
                </c:pt>
                <c:pt idx="1">
                  <c:v>0.439</c:v>
                </c:pt>
                <c:pt idx="2">
                  <c:v>0.48899999999999999</c:v>
                </c:pt>
                <c:pt idx="3">
                  <c:v>0.47499999999999998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3D-47CC-BFDF-E526D4C53FAA}"/>
            </c:ext>
          </c:extLst>
        </c:ser>
        <c:ser>
          <c:idx val="1"/>
          <c:order val="1"/>
          <c:tx>
            <c:strRef>
              <c:f>Worksheet!$C$1</c:f>
              <c:strCache>
                <c:ptCount val="1"/>
                <c:pt idx="0">
                  <c:v>IDHM 2000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Worksheet!$C$2:$C$5</c:f>
              <c:numCache>
                <c:formatCode>General</c:formatCode>
                <c:ptCount val="4"/>
                <c:pt idx="0">
                  <c:v>0.65</c:v>
                </c:pt>
                <c:pt idx="1">
                  <c:v>0.60199999999999998</c:v>
                </c:pt>
                <c:pt idx="2">
                  <c:v>0.65</c:v>
                </c:pt>
                <c:pt idx="3">
                  <c:v>0.624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3D-47CC-BFDF-E526D4C53FAA}"/>
            </c:ext>
          </c:extLst>
        </c:ser>
        <c:ser>
          <c:idx val="2"/>
          <c:order val="2"/>
          <c:tx>
            <c:strRef>
              <c:f>Worksheet!$D$1</c:f>
              <c:strCache>
                <c:ptCount val="1"/>
                <c:pt idx="0">
                  <c:v>IDHM 2010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Worksheet!$D$2:$D$5</c:f>
              <c:numCache>
                <c:formatCode>General</c:formatCode>
                <c:ptCount val="4"/>
                <c:pt idx="0">
                  <c:v>0.749</c:v>
                </c:pt>
                <c:pt idx="1">
                  <c:v>0.70399999999999996</c:v>
                </c:pt>
                <c:pt idx="2">
                  <c:v>0.73</c:v>
                </c:pt>
                <c:pt idx="3">
                  <c:v>0.72799999999999998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3D-47CC-BFDF-E526D4C53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8741344"/>
        <c:axId val="698739712"/>
      </c:barChart>
      <c:catAx>
        <c:axId val="69874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39712"/>
        <c:crosses val="autoZero"/>
        <c:auto val="1"/>
        <c:lblAlgn val="ctr"/>
        <c:lblOffset val="100"/>
        <c:noMultiLvlLbl val="0"/>
      </c:catAx>
      <c:valAx>
        <c:axId val="69873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4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Renda Per</a:t>
            </a:r>
            <a:r>
              <a:rPr lang="en-US" b="1" baseline="0"/>
              <a:t> Capita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Worksheet!$B$1</c:f>
              <c:strCache>
                <c:ptCount val="1"/>
                <c:pt idx="0">
                  <c:v>Renda per capita 1991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Worksheet!$B$2:$B$5</c:f>
              <c:numCache>
                <c:formatCode>General</c:formatCode>
                <c:ptCount val="4"/>
                <c:pt idx="0">
                  <c:v>439.09</c:v>
                </c:pt>
                <c:pt idx="1">
                  <c:v>214.67</c:v>
                </c:pt>
                <c:pt idx="2">
                  <c:v>279.64999999999998</c:v>
                </c:pt>
                <c:pt idx="3">
                  <c:v>244.39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F2-4965-96A6-C31F4C2F5257}"/>
            </c:ext>
          </c:extLst>
        </c:ser>
        <c:ser>
          <c:idx val="1"/>
          <c:order val="1"/>
          <c:tx>
            <c:strRef>
              <c:f>Worksheet!$C$1</c:f>
              <c:strCache>
                <c:ptCount val="1"/>
                <c:pt idx="0">
                  <c:v>Renda per capita 2000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Worksheet!$C$2:$C$5</c:f>
              <c:numCache>
                <c:formatCode>General</c:formatCode>
                <c:ptCount val="4"/>
                <c:pt idx="0">
                  <c:v>638.27</c:v>
                </c:pt>
                <c:pt idx="1">
                  <c:v>370.52</c:v>
                </c:pt>
                <c:pt idx="2">
                  <c:v>522.83000000000004</c:v>
                </c:pt>
                <c:pt idx="3">
                  <c:v>382.7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F2-4965-96A6-C31F4C2F5257}"/>
            </c:ext>
          </c:extLst>
        </c:ser>
        <c:ser>
          <c:idx val="2"/>
          <c:order val="2"/>
          <c:tx>
            <c:strRef>
              <c:f>Worksheet!$D$1</c:f>
              <c:strCache>
                <c:ptCount val="1"/>
                <c:pt idx="0">
                  <c:v>Renda per capita 2010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Worksheet!$A$2:$A$5</c:f>
              <c:strCache>
                <c:ptCount val="4"/>
                <c:pt idx="0">
                  <c:v>Paraná</c:v>
                </c:pt>
                <c:pt idx="1">
                  <c:v>Araruna (PR)</c:v>
                </c:pt>
                <c:pt idx="2">
                  <c:v>Engenheiro Beltrão (PR)</c:v>
                </c:pt>
                <c:pt idx="3">
                  <c:v>Terra Boa (PR)</c:v>
                </c:pt>
              </c:strCache>
            </c:strRef>
          </c:cat>
          <c:val>
            <c:numRef>
              <c:f>Worksheet!$D$2:$D$5</c:f>
              <c:numCache>
                <c:formatCode>General</c:formatCode>
                <c:ptCount val="4"/>
                <c:pt idx="0">
                  <c:v>890.89</c:v>
                </c:pt>
                <c:pt idx="1">
                  <c:v>566.78</c:v>
                </c:pt>
                <c:pt idx="2">
                  <c:v>629.04999999999995</c:v>
                </c:pt>
                <c:pt idx="3">
                  <c:v>653.34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F2-4965-96A6-C31F4C2F5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8741888"/>
        <c:axId val="698748960"/>
      </c:barChart>
      <c:catAx>
        <c:axId val="69874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48960"/>
        <c:crosses val="autoZero"/>
        <c:auto val="1"/>
        <c:lblAlgn val="ctr"/>
        <c:lblOffset val="100"/>
        <c:noMultiLvlLbl val="0"/>
      </c:catAx>
      <c:valAx>
        <c:axId val="69874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4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Valor Adicionado Per Capita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Worksheet!$A$2</c:f>
              <c:strCache>
                <c:ptCount val="1"/>
                <c:pt idx="0">
                  <c:v>Paraná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Worksheet!$B$1:$E$1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Worksheet!$B$2:$E$2</c:f>
              <c:numCache>
                <c:formatCode>General</c:formatCode>
                <c:ptCount val="4"/>
                <c:pt idx="0">
                  <c:v>21.33</c:v>
                </c:pt>
                <c:pt idx="1">
                  <c:v>20.83</c:v>
                </c:pt>
                <c:pt idx="2">
                  <c:v>20.260000000000002</c:v>
                </c:pt>
                <c:pt idx="3">
                  <c:v>20.350000000000001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87-48DC-8152-E41109D6E415}"/>
            </c:ext>
          </c:extLst>
        </c:ser>
        <c:ser>
          <c:idx val="1"/>
          <c:order val="1"/>
          <c:tx>
            <c:strRef>
              <c:f>Worksheet!$A$3</c:f>
              <c:strCache>
                <c:ptCount val="1"/>
                <c:pt idx="0">
                  <c:v>Araruna (PR)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Worksheet!$B$1:$E$1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Worksheet!$B$3:$E$3</c:f>
              <c:numCache>
                <c:formatCode>General</c:formatCode>
                <c:ptCount val="4"/>
                <c:pt idx="0">
                  <c:v>21.11</c:v>
                </c:pt>
                <c:pt idx="1">
                  <c:v>20.72</c:v>
                </c:pt>
                <c:pt idx="2">
                  <c:v>18.38</c:v>
                </c:pt>
                <c:pt idx="3">
                  <c:v>18.38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87-48DC-8152-E41109D6E415}"/>
            </c:ext>
          </c:extLst>
        </c:ser>
        <c:ser>
          <c:idx val="2"/>
          <c:order val="2"/>
          <c:tx>
            <c:strRef>
              <c:f>Worksheet!$A$4</c:f>
              <c:strCache>
                <c:ptCount val="1"/>
                <c:pt idx="0">
                  <c:v>Engenheiro Beltrão (PR)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Worksheet!$B$1:$E$1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Worksheet!$B$4:$E$4</c:f>
              <c:numCache>
                <c:formatCode>General</c:formatCode>
                <c:ptCount val="4"/>
                <c:pt idx="0">
                  <c:v>17.920000000000002</c:v>
                </c:pt>
                <c:pt idx="1">
                  <c:v>16.61</c:v>
                </c:pt>
                <c:pt idx="2">
                  <c:v>17.07</c:v>
                </c:pt>
                <c:pt idx="3">
                  <c:v>16.670000000000002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87-48DC-8152-E41109D6E415}"/>
            </c:ext>
          </c:extLst>
        </c:ser>
        <c:ser>
          <c:idx val="3"/>
          <c:order val="3"/>
          <c:tx>
            <c:strRef>
              <c:f>Worksheet!$A$5</c:f>
              <c:strCache>
                <c:ptCount val="1"/>
                <c:pt idx="0">
                  <c:v>Terra Boa (PR)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Worksheet!$B$1:$E$1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Worksheet!$B$5:$E$5</c:f>
              <c:numCache>
                <c:formatCode>General</c:formatCode>
                <c:ptCount val="4"/>
                <c:pt idx="0">
                  <c:v>13.67</c:v>
                </c:pt>
                <c:pt idx="1">
                  <c:v>14.43</c:v>
                </c:pt>
                <c:pt idx="2">
                  <c:v>13.77</c:v>
                </c:pt>
                <c:pt idx="3">
                  <c:v>14.25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87-48DC-8152-E41109D6E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8742976"/>
        <c:axId val="698743520"/>
      </c:barChart>
      <c:catAx>
        <c:axId val="6987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43520"/>
        <c:crosses val="autoZero"/>
        <c:auto val="1"/>
        <c:lblAlgn val="ctr"/>
        <c:lblOffset val="100"/>
        <c:noMultiLvlLbl val="0"/>
      </c:catAx>
      <c:valAx>
        <c:axId val="69874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874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C79D-E4DE-4CDF-9935-DCCEC19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4513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N°01/2012 – NUPEM</vt:lpstr>
    </vt:vector>
  </TitlesOfParts>
  <Company>FECILCAM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N°01/2012 – NUPEM</dc:title>
  <dc:subject/>
  <dc:creator>Akeryus</dc:creator>
  <cp:keywords/>
  <dc:description/>
  <cp:lastModifiedBy>User</cp:lastModifiedBy>
  <cp:revision>65</cp:revision>
  <cp:lastPrinted>2012-12-11T12:51:00Z</cp:lastPrinted>
  <dcterms:created xsi:type="dcterms:W3CDTF">2022-09-06T12:02:00Z</dcterms:created>
  <dcterms:modified xsi:type="dcterms:W3CDTF">2022-09-09T17:00:00Z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