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AC4" w:rsidRPr="00DB3E48" w:rsidRDefault="00262AC4" w:rsidP="006A2C5F">
      <w:pPr>
        <w:pStyle w:val="SemEspaamento"/>
        <w:jc w:val="center"/>
        <w:rPr>
          <w:b/>
          <w:sz w:val="24"/>
          <w:szCs w:val="24"/>
        </w:rPr>
      </w:pPr>
      <w:r w:rsidRPr="00DB3E48">
        <w:rPr>
          <w:b/>
          <w:sz w:val="24"/>
          <w:szCs w:val="24"/>
        </w:rPr>
        <w:t>PRÓ-REITORIA DE PESQUISA E PÓS-GRADUAÇÃO - PRPPG</w:t>
      </w:r>
    </w:p>
    <w:p w:rsidR="00262AC4" w:rsidRPr="00DB3E48" w:rsidRDefault="00262AC4" w:rsidP="006A2C5F">
      <w:pPr>
        <w:jc w:val="center"/>
        <w:rPr>
          <w:b/>
          <w:sz w:val="22"/>
          <w:szCs w:val="22"/>
        </w:rPr>
      </w:pPr>
      <w:r w:rsidRPr="00DB3E48">
        <w:rPr>
          <w:b/>
          <w:sz w:val="22"/>
          <w:szCs w:val="22"/>
        </w:rPr>
        <w:t>DIRETORIA DE PESQUISA</w:t>
      </w:r>
    </w:p>
    <w:p w:rsidR="00F50D0B" w:rsidRPr="00DB3E48" w:rsidRDefault="00F50D0B" w:rsidP="006A2C5F">
      <w:pPr>
        <w:jc w:val="center"/>
        <w:rPr>
          <w:b/>
        </w:rPr>
      </w:pPr>
      <w:r w:rsidRPr="00DB3E48">
        <w:rPr>
          <w:b/>
        </w:rPr>
        <w:t>DIVISÃO DE INICIAÇÃO CIENTÍFICA</w:t>
      </w:r>
    </w:p>
    <w:p w:rsidR="001C0D0A" w:rsidRPr="00DB3E48" w:rsidRDefault="001C0D0A" w:rsidP="006A2C5F">
      <w:pPr>
        <w:jc w:val="center"/>
        <w:rPr>
          <w:b/>
        </w:rPr>
      </w:pPr>
      <w:r w:rsidRPr="00DB3E48">
        <w:rPr>
          <w:b/>
        </w:rPr>
        <w:t xml:space="preserve">DIVISÃO DE INICIAÇÃO EM DESENVOLVIMENTO </w:t>
      </w:r>
      <w:r w:rsidRPr="00DB3E48">
        <w:rPr>
          <w:rStyle w:val="normaltextrun"/>
          <w:b/>
          <w:bCs/>
        </w:rPr>
        <w:t>TECNOLÓGICO E INOVAÇÃO</w:t>
      </w:r>
      <w:r w:rsidRPr="00DB3E48">
        <w:rPr>
          <w:rStyle w:val="normaltextrun"/>
        </w:rPr>
        <w:t> </w:t>
      </w:r>
      <w:r w:rsidRPr="00DB3E48">
        <w:rPr>
          <w:rStyle w:val="eop"/>
        </w:rPr>
        <w:t> </w:t>
      </w:r>
    </w:p>
    <w:p w:rsidR="00262AC4" w:rsidRPr="00DB3E48" w:rsidRDefault="00262AC4" w:rsidP="006A2C5F">
      <w:pPr>
        <w:jc w:val="center"/>
        <w:rPr>
          <w:b/>
          <w:sz w:val="22"/>
          <w:szCs w:val="22"/>
        </w:rPr>
      </w:pPr>
    </w:p>
    <w:p w:rsidR="00262AC4" w:rsidRPr="00DB3E48" w:rsidRDefault="00FC535B" w:rsidP="00FC535B">
      <w:pPr>
        <w:jc w:val="center"/>
        <w:rPr>
          <w:bCs/>
          <w:i/>
          <w:iCs/>
          <w:sz w:val="24"/>
          <w:szCs w:val="24"/>
        </w:rPr>
      </w:pPr>
      <w:r w:rsidRPr="00DB3E48">
        <w:rPr>
          <w:b/>
          <w:lang w:eastAsia="x-none"/>
        </w:rPr>
        <w:t>PROGRAMAS DE INICIAÇÃO CIENTÍFICA, INICIAÇÃO EM DESENVOLVIMENTO TECNOLÓGICO E INOVAÇÃO E INICIAÇÃO CIENTÍFICA EM NÍVEL MÉDIO - 202</w:t>
      </w:r>
      <w:r w:rsidR="00413A1D" w:rsidRPr="00DB3E48">
        <w:rPr>
          <w:b/>
          <w:lang w:eastAsia="x-none"/>
        </w:rPr>
        <w:t>3</w:t>
      </w:r>
      <w:r w:rsidRPr="00DB3E48">
        <w:rPr>
          <w:b/>
          <w:lang w:eastAsia="x-none"/>
        </w:rPr>
        <w:t>-202</w:t>
      </w:r>
      <w:r w:rsidR="00413A1D" w:rsidRPr="00DB3E48">
        <w:rPr>
          <w:b/>
          <w:lang w:eastAsia="x-none"/>
        </w:rPr>
        <w:t>4</w:t>
      </w:r>
    </w:p>
    <w:p w:rsidR="00FC535B" w:rsidRPr="00DB3E48" w:rsidRDefault="00FC535B" w:rsidP="006A2C5F">
      <w:pPr>
        <w:jc w:val="center"/>
        <w:rPr>
          <w:b/>
          <w:bCs/>
          <w:sz w:val="24"/>
          <w:szCs w:val="24"/>
        </w:rPr>
      </w:pPr>
    </w:p>
    <w:p w:rsidR="00E90E3E" w:rsidRPr="00E90E3E" w:rsidRDefault="00E90E3E" w:rsidP="00E90E3E">
      <w:pPr>
        <w:spacing w:after="200" w:line="360" w:lineRule="auto"/>
        <w:jc w:val="both"/>
        <w:rPr>
          <w:rFonts w:eastAsia="Calibri"/>
          <w:b/>
          <w:sz w:val="24"/>
          <w:szCs w:val="24"/>
          <w:lang w:eastAsia="en-US"/>
        </w:rPr>
      </w:pPr>
      <w:r w:rsidRPr="00E90E3E">
        <w:rPr>
          <w:rFonts w:eastAsia="Calibri"/>
          <w:b/>
          <w:sz w:val="24"/>
          <w:szCs w:val="24"/>
          <w:lang w:eastAsia="en-US"/>
        </w:rPr>
        <w:t>ACIDENTES DE TRÂNSITO EM RODOVIAS NO ESTADO DO PARANÁ NA 14ª REGIONAL DE SAÚDE ANTES E DURANTE A PANDEMIA POR COVID-19</w:t>
      </w:r>
    </w:p>
    <w:p w:rsidR="00262AC4" w:rsidRPr="00DB3E48" w:rsidRDefault="00262AC4" w:rsidP="006A2C5F">
      <w:pPr>
        <w:jc w:val="center"/>
        <w:rPr>
          <w:b/>
          <w:bCs/>
          <w:sz w:val="24"/>
          <w:szCs w:val="24"/>
        </w:rPr>
      </w:pPr>
    </w:p>
    <w:p w:rsidR="00262AC4" w:rsidRPr="00DB3E48" w:rsidRDefault="00262AC4" w:rsidP="006A2C5F">
      <w:pPr>
        <w:jc w:val="center"/>
        <w:rPr>
          <w:b/>
          <w:bCs/>
          <w:sz w:val="24"/>
          <w:szCs w:val="24"/>
        </w:rPr>
      </w:pPr>
    </w:p>
    <w:p w:rsidR="001452E7" w:rsidRPr="00DB3E48" w:rsidRDefault="001452E7" w:rsidP="006A2C5F">
      <w:pPr>
        <w:jc w:val="right"/>
        <w:rPr>
          <w:sz w:val="24"/>
          <w:szCs w:val="24"/>
        </w:rPr>
      </w:pPr>
      <w:r w:rsidRPr="00DB3E48">
        <w:rPr>
          <w:sz w:val="24"/>
          <w:szCs w:val="24"/>
        </w:rPr>
        <w:t>Adilson Silva Oliveira</w:t>
      </w:r>
      <w:r w:rsidR="00262AC4" w:rsidRPr="00DB3E48">
        <w:rPr>
          <w:sz w:val="24"/>
          <w:szCs w:val="24"/>
        </w:rPr>
        <w:t xml:space="preserve"> </w:t>
      </w:r>
      <w:r w:rsidRPr="00DB3E48">
        <w:rPr>
          <w:sz w:val="24"/>
          <w:szCs w:val="24"/>
        </w:rPr>
        <w:t>–</w:t>
      </w:r>
      <w:r w:rsidR="00262AC4" w:rsidRPr="00DB3E48">
        <w:rPr>
          <w:sz w:val="24"/>
          <w:szCs w:val="24"/>
        </w:rPr>
        <w:t xml:space="preserve"> </w:t>
      </w:r>
      <w:r w:rsidRPr="00DB3E48">
        <w:rPr>
          <w:sz w:val="24"/>
          <w:szCs w:val="24"/>
        </w:rPr>
        <w:t xml:space="preserve">PIBIC – Fundação Araucária </w:t>
      </w:r>
    </w:p>
    <w:p w:rsidR="00262AC4" w:rsidRPr="00DB3E48" w:rsidRDefault="00E90E3E" w:rsidP="006A2C5F">
      <w:pPr>
        <w:jc w:val="right"/>
        <w:rPr>
          <w:sz w:val="24"/>
          <w:szCs w:val="24"/>
        </w:rPr>
      </w:pPr>
      <w:r>
        <w:rPr>
          <w:sz w:val="24"/>
          <w:szCs w:val="24"/>
        </w:rPr>
        <w:t>Wil</w:t>
      </w:r>
      <w:r w:rsidR="00636C29">
        <w:rPr>
          <w:sz w:val="24"/>
          <w:szCs w:val="24"/>
        </w:rPr>
        <w:t>l</w:t>
      </w:r>
      <w:r>
        <w:rPr>
          <w:sz w:val="24"/>
          <w:szCs w:val="24"/>
        </w:rPr>
        <w:t xml:space="preserve">ian Augusto </w:t>
      </w:r>
      <w:r w:rsidR="00D96FBA">
        <w:rPr>
          <w:sz w:val="24"/>
          <w:szCs w:val="24"/>
        </w:rPr>
        <w:t>de Melo</w:t>
      </w:r>
    </w:p>
    <w:p w:rsidR="00262AC4" w:rsidRPr="00DB3E48" w:rsidRDefault="00FA71EB" w:rsidP="006A2C5F">
      <w:pPr>
        <w:jc w:val="right"/>
        <w:rPr>
          <w:sz w:val="24"/>
          <w:szCs w:val="24"/>
        </w:rPr>
      </w:pPr>
      <w:r>
        <w:rPr>
          <w:sz w:val="24"/>
          <w:szCs w:val="24"/>
        </w:rPr>
        <w:t>UNESPAR</w:t>
      </w:r>
      <w:r w:rsidR="00262AC4" w:rsidRPr="00DB3E48">
        <w:rPr>
          <w:sz w:val="24"/>
          <w:szCs w:val="24"/>
        </w:rPr>
        <w:t>/</w:t>
      </w:r>
      <w:r w:rsidR="001452E7" w:rsidRPr="00DB3E48">
        <w:rPr>
          <w:i/>
          <w:sz w:val="24"/>
          <w:szCs w:val="24"/>
        </w:rPr>
        <w:t xml:space="preserve">Paranavaí </w:t>
      </w:r>
      <w:r w:rsidR="00D96FBA">
        <w:rPr>
          <w:sz w:val="24"/>
          <w:szCs w:val="24"/>
        </w:rPr>
        <w:t xml:space="preserve"> 2024</w:t>
      </w:r>
    </w:p>
    <w:p w:rsidR="00BF7320" w:rsidRPr="00DB3E48" w:rsidRDefault="00BF7320" w:rsidP="006A2C5F">
      <w:pPr>
        <w:jc w:val="right"/>
        <w:rPr>
          <w:sz w:val="24"/>
          <w:szCs w:val="24"/>
        </w:rPr>
      </w:pPr>
    </w:p>
    <w:p w:rsidR="00455CB0" w:rsidRPr="00DB3E48" w:rsidRDefault="00455CB0" w:rsidP="006A2C5F">
      <w:pPr>
        <w:pStyle w:val="Corpodetexto"/>
        <w:outlineLvl w:val="0"/>
        <w:rPr>
          <w:i/>
        </w:rPr>
      </w:pPr>
    </w:p>
    <w:p w:rsidR="00532D44" w:rsidRPr="00DB3E48" w:rsidRDefault="00532D44" w:rsidP="00532D44">
      <w:pPr>
        <w:pStyle w:val="Corpodetexto"/>
        <w:outlineLvl w:val="0"/>
      </w:pPr>
      <w:bookmarkStart w:id="0" w:name="_Hlk105493750"/>
    </w:p>
    <w:bookmarkEnd w:id="0"/>
    <w:p w:rsidR="001452E7" w:rsidRPr="00DB3E48" w:rsidRDefault="00BF7320" w:rsidP="001452E7">
      <w:pPr>
        <w:spacing w:line="360" w:lineRule="auto"/>
        <w:jc w:val="both"/>
        <w:rPr>
          <w:color w:val="FF0000"/>
          <w:sz w:val="24"/>
          <w:szCs w:val="24"/>
        </w:rPr>
      </w:pPr>
      <w:r w:rsidRPr="00DB3E48">
        <w:rPr>
          <w:b/>
          <w:sz w:val="24"/>
          <w:szCs w:val="24"/>
        </w:rPr>
        <w:t xml:space="preserve">INTRODUÇÃO </w:t>
      </w:r>
    </w:p>
    <w:p w:rsidR="001452E7" w:rsidRPr="00DB3E48" w:rsidRDefault="00BF7320" w:rsidP="001452E7">
      <w:pPr>
        <w:spacing w:line="360" w:lineRule="auto"/>
        <w:jc w:val="both"/>
        <w:rPr>
          <w:sz w:val="24"/>
          <w:szCs w:val="24"/>
        </w:rPr>
      </w:pPr>
      <w:r w:rsidRPr="00DB3E48">
        <w:rPr>
          <w:sz w:val="24"/>
          <w:szCs w:val="24"/>
        </w:rPr>
        <w:t xml:space="preserve"> </w:t>
      </w:r>
      <w:r w:rsidR="001452E7" w:rsidRPr="00DB3E48">
        <w:rPr>
          <w:sz w:val="24"/>
          <w:szCs w:val="24"/>
        </w:rPr>
        <w:tab/>
      </w:r>
    </w:p>
    <w:p w:rsidR="001452E7" w:rsidRPr="00DB3E48" w:rsidRDefault="001452E7" w:rsidP="001452E7">
      <w:pPr>
        <w:spacing w:line="360" w:lineRule="auto"/>
        <w:ind w:firstLine="708"/>
        <w:jc w:val="both"/>
        <w:rPr>
          <w:sz w:val="24"/>
          <w:szCs w:val="24"/>
        </w:rPr>
      </w:pPr>
      <w:r w:rsidRPr="00DB3E48">
        <w:rPr>
          <w:sz w:val="24"/>
          <w:szCs w:val="24"/>
        </w:rPr>
        <w:t>Em dezembro de 2019 foi detectado em Wuhan na China um novo vírus, responsável pela Covid 19 gerando nos meses e anos seguintes uma pandemia mundial, com quase sete milhões de mortos no mundo, segundo a Organização Mundial de Saúde OMS e aproximadamente 780 milhões de caso até junho de 2023 (OMS, 2023).No Brasil segundo o Governo Federal, foram registrados até o ano de 2023 38.210.864 casos da doença e 708.638 mortes (MS,2023).</w:t>
      </w:r>
    </w:p>
    <w:p w:rsidR="001452E7" w:rsidRPr="00DB3E48" w:rsidRDefault="001452E7" w:rsidP="001452E7">
      <w:pPr>
        <w:spacing w:line="360" w:lineRule="auto"/>
        <w:ind w:firstLine="708"/>
        <w:jc w:val="both"/>
        <w:rPr>
          <w:sz w:val="24"/>
          <w:szCs w:val="24"/>
        </w:rPr>
      </w:pPr>
      <w:r w:rsidRPr="00DB3E48">
        <w:rPr>
          <w:sz w:val="24"/>
          <w:szCs w:val="24"/>
        </w:rPr>
        <w:t>A pandemia gerou prejuízo em varias aeras, afetando a economia e colapsando a saúde pública em muitas cidades no Brasil. Alterando as rotinas e o cotidiano das pessoas de maneira geral, no período pandêmico, todos os indicadores de saúde devem levar em consideração esse período, inclusive quando observamos os acidentes de trânsito nesse período, devemos levar a pandemia em consideração.</w:t>
      </w:r>
    </w:p>
    <w:p w:rsidR="001452E7" w:rsidRPr="00DB3E48" w:rsidRDefault="001452E7" w:rsidP="001452E7">
      <w:pPr>
        <w:spacing w:line="360" w:lineRule="auto"/>
        <w:ind w:firstLine="708"/>
        <w:jc w:val="both"/>
        <w:rPr>
          <w:sz w:val="24"/>
          <w:szCs w:val="24"/>
        </w:rPr>
      </w:pPr>
      <w:r w:rsidRPr="00DB3E48">
        <w:rPr>
          <w:sz w:val="24"/>
          <w:szCs w:val="24"/>
        </w:rPr>
        <w:t>No Estado do Paraná assim como outros e</w:t>
      </w:r>
      <w:r w:rsidR="003F27E2" w:rsidRPr="00DB3E48">
        <w:rPr>
          <w:sz w:val="24"/>
          <w:szCs w:val="24"/>
        </w:rPr>
        <w:t>stados no Brasil adotaram a polí</w:t>
      </w:r>
      <w:r w:rsidRPr="00DB3E48">
        <w:rPr>
          <w:sz w:val="24"/>
          <w:szCs w:val="24"/>
        </w:rPr>
        <w:t>tica do distanciamento social para prevenção e não propagação do vírus, cidades inteiras pararam por semanas, empresas, comércio, só ficando em funcionamento setores essenciais a vida humana, como supermercados e farmácias por exemplo. (LEGISWEB,2020)</w:t>
      </w:r>
    </w:p>
    <w:p w:rsidR="001452E7" w:rsidRPr="00DB3E48" w:rsidRDefault="001452E7" w:rsidP="001452E7">
      <w:pPr>
        <w:spacing w:line="360" w:lineRule="auto"/>
        <w:jc w:val="both"/>
        <w:rPr>
          <w:sz w:val="24"/>
          <w:szCs w:val="24"/>
        </w:rPr>
      </w:pPr>
      <w:r w:rsidRPr="00DB3E48">
        <w:rPr>
          <w:sz w:val="24"/>
          <w:szCs w:val="24"/>
        </w:rPr>
        <w:t xml:space="preserve"> </w:t>
      </w:r>
      <w:r w:rsidR="003F27E2" w:rsidRPr="00DB3E48">
        <w:rPr>
          <w:sz w:val="24"/>
          <w:szCs w:val="24"/>
        </w:rPr>
        <w:tab/>
      </w:r>
      <w:r w:rsidRPr="00DB3E48">
        <w:rPr>
          <w:sz w:val="24"/>
          <w:szCs w:val="24"/>
        </w:rPr>
        <w:t xml:space="preserve">Embora a pandemia tenha ceifado inúmeras vidas nos anos iniciais desta década, os acidentes de trânsito em rodovias federais com vitimas fatais cresceram 2,28 em 2022 e  </w:t>
      </w:r>
      <w:r w:rsidRPr="00DB3E48">
        <w:rPr>
          <w:sz w:val="24"/>
          <w:szCs w:val="24"/>
        </w:rPr>
        <w:lastRenderedPageBreak/>
        <w:t>3,34% em 2023 segundo a PRF, ampliando o debate sobre a</w:t>
      </w:r>
      <w:r w:rsidR="003F27E2" w:rsidRPr="00DB3E48">
        <w:rPr>
          <w:sz w:val="24"/>
          <w:szCs w:val="24"/>
        </w:rPr>
        <w:t xml:space="preserve"> relação da</w:t>
      </w:r>
      <w:r w:rsidRPr="00DB3E48">
        <w:rPr>
          <w:sz w:val="24"/>
          <w:szCs w:val="24"/>
        </w:rPr>
        <w:t xml:space="preserve"> pandemia</w:t>
      </w:r>
      <w:r w:rsidR="003F27E2" w:rsidRPr="00DB3E48">
        <w:rPr>
          <w:sz w:val="24"/>
          <w:szCs w:val="24"/>
        </w:rPr>
        <w:t xml:space="preserve"> com os acidentes de trânsito</w:t>
      </w:r>
      <w:r w:rsidRPr="00DB3E48">
        <w:rPr>
          <w:sz w:val="24"/>
          <w:szCs w:val="24"/>
        </w:rPr>
        <w:t>. (PFR,2023)</w:t>
      </w:r>
    </w:p>
    <w:p w:rsidR="001452E7" w:rsidRPr="00DB3E48" w:rsidRDefault="001452E7" w:rsidP="001452E7">
      <w:pPr>
        <w:spacing w:line="360" w:lineRule="auto"/>
        <w:ind w:firstLine="708"/>
        <w:jc w:val="both"/>
        <w:rPr>
          <w:sz w:val="24"/>
          <w:szCs w:val="24"/>
        </w:rPr>
      </w:pPr>
      <w:r w:rsidRPr="00DB3E48">
        <w:rPr>
          <w:sz w:val="24"/>
          <w:szCs w:val="24"/>
        </w:rPr>
        <w:t>Os acidentes</w:t>
      </w:r>
      <w:r w:rsidR="00246502" w:rsidRPr="00DB3E48">
        <w:rPr>
          <w:sz w:val="24"/>
          <w:szCs w:val="24"/>
        </w:rPr>
        <w:t xml:space="preserve"> em rodovias federais</w:t>
      </w:r>
      <w:r w:rsidRPr="00DB3E48">
        <w:rPr>
          <w:sz w:val="24"/>
          <w:szCs w:val="24"/>
        </w:rPr>
        <w:t xml:space="preserve"> geraram uma despesa de 12,92 bilhões de reais no ano de 2022 segundo a Confederação Nacional de Transporte (CNT) um aumento de 800 milhões em relação ao ano anterior. No mesmo período foi gasto 6,51 bilhões em obras e manutenção da malha rodoviária federal, ou seja, foi gasto 100% a mais com acidentes do que com obras que poderiam diminuir acidentes e respectivamente preservar vidas. (CNT,2023)</w:t>
      </w:r>
    </w:p>
    <w:p w:rsidR="00246502" w:rsidRPr="00DB3E48" w:rsidRDefault="00246502" w:rsidP="001452E7">
      <w:pPr>
        <w:spacing w:line="360" w:lineRule="auto"/>
        <w:ind w:firstLine="708"/>
        <w:jc w:val="both"/>
        <w:rPr>
          <w:sz w:val="24"/>
          <w:szCs w:val="24"/>
        </w:rPr>
      </w:pPr>
      <w:r w:rsidRPr="00DB3E48">
        <w:rPr>
          <w:sz w:val="24"/>
          <w:szCs w:val="24"/>
        </w:rPr>
        <w:t>Segundo o Instituto de Pesquisa Econômica Aplicada (Ipea) a estimativa de mortes por acidentes de trânsito é de 45 mil mortos anuais e um gasto superior a 50 bilhões, se contabilizarmos todos os acidentes nas vias urbanas e rodoviárias. No ano de 2017 foi a principal causa de morte da faixa etária de 5 a 14 anos no Brasil (Ipea. 2023).</w:t>
      </w:r>
    </w:p>
    <w:p w:rsidR="00246502" w:rsidRPr="00DB3E48" w:rsidRDefault="00246502" w:rsidP="001452E7">
      <w:pPr>
        <w:spacing w:line="360" w:lineRule="auto"/>
        <w:ind w:firstLine="708"/>
        <w:jc w:val="both"/>
        <w:rPr>
          <w:sz w:val="24"/>
          <w:szCs w:val="24"/>
        </w:rPr>
      </w:pPr>
      <w:r w:rsidRPr="00DB3E48">
        <w:rPr>
          <w:sz w:val="24"/>
          <w:szCs w:val="24"/>
        </w:rPr>
        <w:t>Os acidentes de trânsito além de gerar uma alta despesa aos cofres públicos, danos pessoais e a vida, também causam um risco ao m</w:t>
      </w:r>
      <w:r w:rsidR="006C0A8E" w:rsidRPr="00DB3E48">
        <w:rPr>
          <w:sz w:val="24"/>
          <w:szCs w:val="24"/>
        </w:rPr>
        <w:t>eio ambiente, em 2021 segundo  a Associação Brasileira de Transporte e Logística (ABTL) foram 1095 ocorrências com cargas contaminantes no Brasil, causando diversos problemas ambientais, contaminando o solo, rios e matando animais. Por outro lado a própria instituição ressalta a queda acentuada desse tipo de acidente desde 1999 quando surgiu a entidade e assume que ainda é preciso investimentos na área (ABTL,2022)</w:t>
      </w:r>
    </w:p>
    <w:p w:rsidR="003C7B67" w:rsidRPr="00FA71EB" w:rsidRDefault="006E2512" w:rsidP="00FA71EB">
      <w:pPr>
        <w:spacing w:line="360" w:lineRule="auto"/>
        <w:ind w:firstLine="708"/>
        <w:jc w:val="both"/>
        <w:rPr>
          <w:sz w:val="24"/>
          <w:szCs w:val="24"/>
        </w:rPr>
      </w:pPr>
      <w:r w:rsidRPr="00DB3E48">
        <w:rPr>
          <w:sz w:val="24"/>
          <w:szCs w:val="24"/>
        </w:rPr>
        <w:t>No Paraná</w:t>
      </w:r>
      <w:r w:rsidR="003675A1" w:rsidRPr="00DB3E48">
        <w:rPr>
          <w:sz w:val="24"/>
          <w:szCs w:val="24"/>
        </w:rPr>
        <w:t xml:space="preserve"> Segundo o Sistema de Informação Hospitalares ( SIH) nos ano de 2022 e 2023 foram registrados 21.118 internamentos devido a acidente de trânsito em todo o território do estado,  com gastos superiores há 36 milhões de reais,  sendo</w:t>
      </w:r>
      <w:r w:rsidR="003C7B67" w:rsidRPr="00DB3E48">
        <w:rPr>
          <w:sz w:val="24"/>
          <w:szCs w:val="24"/>
        </w:rPr>
        <w:t xml:space="preserve"> os homens o sexo mais envolvido em sinistros de transito com </w:t>
      </w:r>
      <w:r w:rsidR="003675A1" w:rsidRPr="00DB3E48">
        <w:rPr>
          <w:sz w:val="24"/>
          <w:szCs w:val="24"/>
        </w:rPr>
        <w:t xml:space="preserve"> cerca de 7,9 mil homens e 2,5 mulheres em 202</w:t>
      </w:r>
      <w:r w:rsidR="003C7B67" w:rsidRPr="00DB3E48">
        <w:rPr>
          <w:sz w:val="24"/>
          <w:szCs w:val="24"/>
        </w:rPr>
        <w:t>3.</w:t>
      </w:r>
      <w:r w:rsidR="00FA71EB">
        <w:rPr>
          <w:sz w:val="24"/>
          <w:szCs w:val="24"/>
        </w:rPr>
        <w:t xml:space="preserve"> </w:t>
      </w:r>
      <w:r w:rsidR="003C7B67" w:rsidRPr="00FA71EB">
        <w:rPr>
          <w:sz w:val="24"/>
          <w:szCs w:val="24"/>
        </w:rPr>
        <w:t>Entre 2022 e 2023 foram 34 internamentos de bebês com menos de um ano, 155 de crianças de 1 a 4 anos e 363 de crianças de 5 a 9 anos. Entre adultos, foram 3.994 internamentos por lesões de trânsito entre 30 e 39 anos e 3</w:t>
      </w:r>
      <w:r w:rsidR="00FA71EB">
        <w:rPr>
          <w:sz w:val="24"/>
          <w:szCs w:val="24"/>
        </w:rPr>
        <w:t xml:space="preserve">.295 entre 40 e 49 anos. Foram </w:t>
      </w:r>
      <w:r w:rsidR="003C7B67" w:rsidRPr="00FA71EB">
        <w:rPr>
          <w:sz w:val="24"/>
          <w:szCs w:val="24"/>
        </w:rPr>
        <w:t>ainda, 2.218 internamentos de idosos com mais de 60 anos</w:t>
      </w:r>
      <w:r w:rsidR="001F6CBA" w:rsidRPr="00FA71EB">
        <w:rPr>
          <w:color w:val="1F1F1F"/>
          <w:sz w:val="24"/>
          <w:szCs w:val="24"/>
          <w:shd w:val="clear" w:color="auto" w:fill="FFFFFF"/>
        </w:rPr>
        <w:t>”</w:t>
      </w:r>
      <w:r w:rsidR="003C7B67" w:rsidRPr="00FA71EB">
        <w:rPr>
          <w:sz w:val="24"/>
          <w:szCs w:val="24"/>
        </w:rPr>
        <w:t xml:space="preserve"> (SIH,2024)</w:t>
      </w:r>
    </w:p>
    <w:p w:rsidR="001F6CBA" w:rsidRPr="00DB3E48" w:rsidRDefault="001F6CBA" w:rsidP="001F6CBA">
      <w:pPr>
        <w:ind w:left="1416" w:firstLine="708"/>
        <w:jc w:val="both"/>
      </w:pPr>
    </w:p>
    <w:p w:rsidR="003675A1" w:rsidRPr="00DB3E48" w:rsidRDefault="003C7B67" w:rsidP="001F6CBA">
      <w:pPr>
        <w:spacing w:line="360" w:lineRule="auto"/>
        <w:ind w:firstLine="708"/>
        <w:jc w:val="both"/>
        <w:rPr>
          <w:sz w:val="24"/>
          <w:szCs w:val="24"/>
        </w:rPr>
      </w:pPr>
      <w:r w:rsidRPr="00DB3E48">
        <w:rPr>
          <w:sz w:val="24"/>
          <w:szCs w:val="24"/>
        </w:rPr>
        <w:t xml:space="preserve">No mapeamento dos óbitos no Paraná no ano de 2022 segundo um panorama geral do SIH no estado perderam a vida </w:t>
      </w:r>
      <w:r w:rsidR="001F6CBA" w:rsidRPr="00DB3E48">
        <w:rPr>
          <w:color w:val="1F1F1F"/>
          <w:sz w:val="30"/>
          <w:szCs w:val="30"/>
          <w:shd w:val="clear" w:color="auto" w:fill="FFFFFF"/>
        </w:rPr>
        <w:t>“</w:t>
      </w:r>
      <w:r w:rsidRPr="00DB3E48">
        <w:rPr>
          <w:sz w:val="24"/>
          <w:szCs w:val="24"/>
        </w:rPr>
        <w:t xml:space="preserve">485 pedestres, 148 ciclistas, 785 motociclistas, 947 ocupantes de automóveis e camionetes e 113 </w:t>
      </w:r>
      <w:r w:rsidR="001F6CBA" w:rsidRPr="00DB3E48">
        <w:rPr>
          <w:sz w:val="24"/>
          <w:szCs w:val="24"/>
        </w:rPr>
        <w:t>motoristas</w:t>
      </w:r>
      <w:r w:rsidRPr="00DB3E48">
        <w:rPr>
          <w:sz w:val="24"/>
          <w:szCs w:val="24"/>
        </w:rPr>
        <w:t xml:space="preserve"> e passageiros de veículos pesados</w:t>
      </w:r>
      <w:r w:rsidR="001F6CBA" w:rsidRPr="00DB3E48">
        <w:rPr>
          <w:color w:val="1F1F1F"/>
          <w:sz w:val="30"/>
          <w:szCs w:val="30"/>
          <w:shd w:val="clear" w:color="auto" w:fill="FFFFFF"/>
        </w:rPr>
        <w:t>”</w:t>
      </w:r>
      <w:r w:rsidRPr="00DB3E48">
        <w:rPr>
          <w:sz w:val="24"/>
          <w:szCs w:val="24"/>
        </w:rPr>
        <w:t>. (SIH,</w:t>
      </w:r>
      <w:r w:rsidR="00636C29">
        <w:rPr>
          <w:sz w:val="24"/>
          <w:szCs w:val="24"/>
        </w:rPr>
        <w:t xml:space="preserve"> </w:t>
      </w:r>
      <w:r w:rsidRPr="00DB3E48">
        <w:rPr>
          <w:sz w:val="24"/>
          <w:szCs w:val="24"/>
        </w:rPr>
        <w:t>2024)</w:t>
      </w:r>
    </w:p>
    <w:p w:rsidR="00636C29" w:rsidRPr="00A41A14" w:rsidRDefault="001452E7" w:rsidP="00A41A14">
      <w:pPr>
        <w:spacing w:line="360" w:lineRule="auto"/>
        <w:ind w:firstLine="708"/>
        <w:jc w:val="both"/>
        <w:rPr>
          <w:sz w:val="24"/>
          <w:szCs w:val="24"/>
        </w:rPr>
      </w:pPr>
      <w:r w:rsidRPr="00DB3E48">
        <w:rPr>
          <w:sz w:val="24"/>
          <w:szCs w:val="24"/>
        </w:rPr>
        <w:t>Nesse contexto pandêmico onde todas as camadas sociais foram afetadas, d</w:t>
      </w:r>
      <w:r w:rsidR="003F27E2" w:rsidRPr="00DB3E48">
        <w:rPr>
          <w:sz w:val="24"/>
          <w:szCs w:val="24"/>
        </w:rPr>
        <w:t xml:space="preserve">amos </w:t>
      </w:r>
      <w:r w:rsidRPr="00DB3E48">
        <w:rPr>
          <w:sz w:val="24"/>
          <w:szCs w:val="24"/>
        </w:rPr>
        <w:t>atenção ao micro,</w:t>
      </w:r>
      <w:r w:rsidR="006C0A8E" w:rsidRPr="00DB3E48">
        <w:rPr>
          <w:sz w:val="24"/>
          <w:szCs w:val="24"/>
        </w:rPr>
        <w:t xml:space="preserve"> para</w:t>
      </w:r>
      <w:r w:rsidRPr="00DB3E48">
        <w:rPr>
          <w:sz w:val="24"/>
          <w:szCs w:val="24"/>
        </w:rPr>
        <w:t xml:space="preserve"> </w:t>
      </w:r>
      <w:r w:rsidR="006C0A8E" w:rsidRPr="00DB3E48">
        <w:rPr>
          <w:sz w:val="24"/>
          <w:szCs w:val="24"/>
        </w:rPr>
        <w:t>criar dentro da 14° regional de saúde um mapeamento dos ac</w:t>
      </w:r>
      <w:r w:rsidR="006E2512" w:rsidRPr="00DB3E48">
        <w:rPr>
          <w:sz w:val="24"/>
          <w:szCs w:val="24"/>
        </w:rPr>
        <w:t xml:space="preserve">identes de </w:t>
      </w:r>
      <w:r w:rsidR="006E2512" w:rsidRPr="00DB3E48">
        <w:rPr>
          <w:sz w:val="24"/>
          <w:szCs w:val="24"/>
        </w:rPr>
        <w:lastRenderedPageBreak/>
        <w:t>trâ</w:t>
      </w:r>
      <w:r w:rsidR="006C0A8E" w:rsidRPr="00DB3E48">
        <w:rPr>
          <w:sz w:val="24"/>
          <w:szCs w:val="24"/>
        </w:rPr>
        <w:t xml:space="preserve">nsito antes e durante a pandemia, fazendo através de um estudo comparativo a relação dos acidentes com a pandemia. </w:t>
      </w:r>
      <w:r w:rsidR="00A41A14">
        <w:rPr>
          <w:sz w:val="24"/>
          <w:szCs w:val="24"/>
        </w:rPr>
        <w:t>Com a justificativa de</w:t>
      </w:r>
      <w:r w:rsidR="00A41A14" w:rsidRPr="00A41A14">
        <w:rPr>
          <w:sz w:val="24"/>
          <w:szCs w:val="24"/>
        </w:rPr>
        <w:t xml:space="preserve"> </w:t>
      </w:r>
      <w:r w:rsidR="00A41A14">
        <w:rPr>
          <w:sz w:val="24"/>
          <w:szCs w:val="24"/>
        </w:rPr>
        <w:t>apontar as principais discrepâncias e a influencia da pandemia em relação aos acidentes de trânsito nas Rodovias Federais da 14° regional de saúde e l</w:t>
      </w:r>
      <w:r w:rsidR="006E2512" w:rsidRPr="00DB3E48">
        <w:rPr>
          <w:sz w:val="24"/>
          <w:szCs w:val="24"/>
        </w:rPr>
        <w:t>evando em consideração as variáveis sobre a população (envolvidos, faixa etárias, sexo, estado de saúde), sobre o meio ambiente e infra estrutura (clima, período do dia, condições d</w:t>
      </w:r>
      <w:r w:rsidR="00A41A14">
        <w:rPr>
          <w:sz w:val="24"/>
          <w:szCs w:val="24"/>
        </w:rPr>
        <w:t>a pista, entre outros) e causas,</w:t>
      </w:r>
      <w:r w:rsidR="00636C29">
        <w:rPr>
          <w:sz w:val="24"/>
          <w:szCs w:val="24"/>
        </w:rPr>
        <w:t xml:space="preserve"> </w:t>
      </w:r>
      <w:r w:rsidR="00FA71EB">
        <w:rPr>
          <w:sz w:val="24"/>
          <w:szCs w:val="24"/>
        </w:rPr>
        <w:t xml:space="preserve">o objetivo deste estudo </w:t>
      </w:r>
      <w:r w:rsidR="00A41A14">
        <w:rPr>
          <w:sz w:val="24"/>
          <w:szCs w:val="24"/>
        </w:rPr>
        <w:t>foi</w:t>
      </w:r>
      <w:r w:rsidR="00FA71EB">
        <w:rPr>
          <w:sz w:val="24"/>
          <w:szCs w:val="24"/>
        </w:rPr>
        <w:t xml:space="preserve"> criar um perfil epidemiológico dos acidentes de trânsito na 14° regional de saúde comparando os triênios antes e </w:t>
      </w:r>
      <w:r w:rsidR="00A41A14">
        <w:rPr>
          <w:sz w:val="24"/>
          <w:szCs w:val="24"/>
        </w:rPr>
        <w:t>durante a pandemia de Covid 19.</w:t>
      </w:r>
    </w:p>
    <w:p w:rsidR="00BF7320" w:rsidRPr="00DB3E48" w:rsidRDefault="00BF7320" w:rsidP="00D0203D">
      <w:pPr>
        <w:tabs>
          <w:tab w:val="left" w:pos="1890"/>
        </w:tabs>
        <w:spacing w:line="360" w:lineRule="auto"/>
        <w:ind w:firstLine="708"/>
        <w:jc w:val="both"/>
        <w:rPr>
          <w:b/>
          <w:sz w:val="24"/>
          <w:szCs w:val="24"/>
        </w:rPr>
      </w:pPr>
      <w:r w:rsidRPr="00DB3E48">
        <w:rPr>
          <w:sz w:val="24"/>
          <w:szCs w:val="24"/>
        </w:rPr>
        <w:tab/>
      </w:r>
    </w:p>
    <w:p w:rsidR="006E2512" w:rsidRPr="00DB3E48" w:rsidRDefault="00BF7320" w:rsidP="00D0203D">
      <w:pPr>
        <w:spacing w:line="360" w:lineRule="auto"/>
        <w:jc w:val="both"/>
        <w:rPr>
          <w:b/>
          <w:sz w:val="24"/>
          <w:szCs w:val="24"/>
        </w:rPr>
      </w:pPr>
      <w:r w:rsidRPr="00DB3E48">
        <w:rPr>
          <w:b/>
          <w:sz w:val="24"/>
          <w:szCs w:val="24"/>
        </w:rPr>
        <w:t>MATERIAIS E MÉTODOS</w:t>
      </w:r>
    </w:p>
    <w:p w:rsidR="006E2512" w:rsidRPr="00DB3E48" w:rsidRDefault="006E2512" w:rsidP="00D0203D">
      <w:pPr>
        <w:spacing w:line="360" w:lineRule="auto"/>
        <w:jc w:val="both"/>
        <w:rPr>
          <w:b/>
          <w:sz w:val="24"/>
          <w:szCs w:val="24"/>
        </w:rPr>
      </w:pPr>
    </w:p>
    <w:p w:rsidR="00FA71EB" w:rsidRPr="00DB3E48" w:rsidRDefault="006E2512" w:rsidP="00FA71EB">
      <w:pPr>
        <w:spacing w:after="200" w:line="360" w:lineRule="auto"/>
        <w:ind w:firstLine="708"/>
        <w:jc w:val="both"/>
        <w:rPr>
          <w:rFonts w:eastAsia="Calibri"/>
          <w:sz w:val="24"/>
          <w:szCs w:val="24"/>
          <w:lang w:eastAsia="en-US"/>
        </w:rPr>
      </w:pPr>
      <w:r w:rsidRPr="00DB3E48">
        <w:rPr>
          <w:rFonts w:eastAsia="Calibri"/>
          <w:sz w:val="24"/>
          <w:szCs w:val="24"/>
          <w:lang w:eastAsia="en-US"/>
        </w:rPr>
        <w:t>Estudo transversal, retrospectivo e descritivo. Foi realizada uma coleta do banco de dados do site da Policia Rodoviária Federal (PRF),</w:t>
      </w:r>
      <w:r w:rsidRPr="00DB3E48">
        <w:rPr>
          <w:rFonts w:eastAsia="Calibri"/>
          <w:sz w:val="22"/>
          <w:szCs w:val="22"/>
          <w:lang w:eastAsia="en-US"/>
        </w:rPr>
        <w:t xml:space="preserve"> </w:t>
      </w:r>
      <w:r w:rsidRPr="00DB3E48">
        <w:rPr>
          <w:rFonts w:eastAsia="Calibri"/>
          <w:sz w:val="24"/>
          <w:szCs w:val="24"/>
          <w:lang w:eastAsia="en-US"/>
        </w:rPr>
        <w:t>https://www.gov.br/prf/pt-br/acesso-a-informacao/dados-abertos/dados-abertos-da-prf dados abertos  de acidentes por pessoa. Este banco de dados mostra informações de todas as rodovias federais do Brasil, então foi realizado primeiramente uma filtragem selecionando as rodovias do PR, dentro de uma série histór</w:t>
      </w:r>
      <w:r w:rsidR="001F6CBA" w:rsidRPr="00DB3E48">
        <w:rPr>
          <w:rFonts w:eastAsia="Calibri"/>
          <w:sz w:val="24"/>
          <w:szCs w:val="24"/>
          <w:lang w:eastAsia="en-US"/>
        </w:rPr>
        <w:t xml:space="preserve">ica de 2017 a 2022, período pré </w:t>
      </w:r>
      <w:r w:rsidRPr="00DB3E48">
        <w:rPr>
          <w:rFonts w:eastAsia="Calibri"/>
          <w:sz w:val="24"/>
          <w:szCs w:val="24"/>
          <w:lang w:eastAsia="en-US"/>
        </w:rPr>
        <w:t>pandêmico e pandêmico.</w:t>
      </w:r>
      <w:r w:rsidR="00FA71EB">
        <w:rPr>
          <w:rFonts w:eastAsia="Calibri"/>
          <w:sz w:val="24"/>
          <w:szCs w:val="24"/>
          <w:lang w:eastAsia="en-US"/>
        </w:rPr>
        <w:t xml:space="preserve"> Os micro</w:t>
      </w:r>
      <w:r w:rsidR="009F5F89">
        <w:rPr>
          <w:rFonts w:eastAsia="Calibri"/>
          <w:sz w:val="24"/>
          <w:szCs w:val="24"/>
          <w:lang w:eastAsia="en-US"/>
        </w:rPr>
        <w:t xml:space="preserve"> </w:t>
      </w:r>
      <w:r w:rsidR="00FA71EB">
        <w:rPr>
          <w:rFonts w:eastAsia="Calibri"/>
          <w:sz w:val="24"/>
          <w:szCs w:val="24"/>
          <w:lang w:eastAsia="en-US"/>
        </w:rPr>
        <w:t>dados foram analisados em planilhas eletrônicas (Excel</w:t>
      </w:r>
      <w:r w:rsidR="009F5F89">
        <w:rPr>
          <w:rFonts w:eastAsia="Calibri"/>
          <w:sz w:val="24"/>
          <w:szCs w:val="24"/>
          <w:lang w:eastAsia="en-US"/>
        </w:rPr>
        <w:t>)</w:t>
      </w:r>
    </w:p>
    <w:p w:rsidR="006E2512" w:rsidRPr="00DB3E48" w:rsidRDefault="006E2512" w:rsidP="006E2512">
      <w:pPr>
        <w:spacing w:after="200" w:line="360" w:lineRule="auto"/>
        <w:jc w:val="both"/>
        <w:rPr>
          <w:rFonts w:eastAsia="Calibri"/>
          <w:sz w:val="24"/>
          <w:szCs w:val="24"/>
          <w:lang w:eastAsia="en-US"/>
        </w:rPr>
      </w:pPr>
      <w:r w:rsidRPr="00DB3E48">
        <w:rPr>
          <w:rFonts w:eastAsia="Calibri"/>
          <w:sz w:val="24"/>
          <w:szCs w:val="24"/>
          <w:lang w:eastAsia="en-US"/>
        </w:rPr>
        <w:tab/>
        <w:t>Por se tratar de dados abertos ao publico, dispens</w:t>
      </w:r>
      <w:r w:rsidR="00636C29">
        <w:rPr>
          <w:rFonts w:eastAsia="Calibri"/>
          <w:sz w:val="24"/>
          <w:szCs w:val="24"/>
          <w:lang w:eastAsia="en-US"/>
        </w:rPr>
        <w:t>ou</w:t>
      </w:r>
      <w:r w:rsidRPr="00DB3E48">
        <w:rPr>
          <w:rFonts w:eastAsia="Calibri"/>
          <w:sz w:val="24"/>
          <w:szCs w:val="24"/>
          <w:lang w:eastAsia="en-US"/>
        </w:rPr>
        <w:t>-se avaliação do comitê de ética.</w:t>
      </w:r>
    </w:p>
    <w:p w:rsidR="009F5F89" w:rsidRDefault="00FA71EB" w:rsidP="006E2512">
      <w:pPr>
        <w:spacing w:after="200" w:line="360" w:lineRule="auto"/>
        <w:ind w:firstLine="708"/>
        <w:jc w:val="both"/>
        <w:rPr>
          <w:rFonts w:eastAsia="Calibri"/>
          <w:sz w:val="24"/>
          <w:szCs w:val="24"/>
          <w:lang w:eastAsia="en-US"/>
        </w:rPr>
      </w:pPr>
      <w:r>
        <w:rPr>
          <w:rFonts w:eastAsia="Calibri"/>
          <w:sz w:val="24"/>
          <w:szCs w:val="24"/>
          <w:lang w:eastAsia="en-US"/>
        </w:rPr>
        <w:t>Para o estudo d</w:t>
      </w:r>
      <w:r w:rsidR="006E2512" w:rsidRPr="00DB3E48">
        <w:rPr>
          <w:rFonts w:eastAsia="Calibri"/>
          <w:sz w:val="24"/>
          <w:szCs w:val="24"/>
          <w:lang w:eastAsia="en-US"/>
        </w:rPr>
        <w:t>elimitamos os dados a 14° Regional de Saúde de Paranavaí, considerando</w:t>
      </w:r>
      <w:r>
        <w:rPr>
          <w:rFonts w:eastAsia="Calibri"/>
          <w:sz w:val="24"/>
          <w:szCs w:val="24"/>
          <w:lang w:eastAsia="en-US"/>
        </w:rPr>
        <w:t xml:space="preserve"> os municípios de Paranavaí, </w:t>
      </w:r>
      <w:r w:rsidR="00B83653">
        <w:rPr>
          <w:rFonts w:eastAsia="Calibri"/>
          <w:sz w:val="24"/>
          <w:szCs w:val="24"/>
          <w:lang w:eastAsia="en-US"/>
        </w:rPr>
        <w:t>Alto Paraná, Guairaça, Nova Esperança, Loanda e Nova Londrina, cidades que são cortadas pela BR 376</w:t>
      </w:r>
      <w:r w:rsidR="009F5F89">
        <w:rPr>
          <w:rFonts w:eastAsia="Calibri"/>
          <w:sz w:val="24"/>
          <w:szCs w:val="24"/>
          <w:lang w:eastAsia="en-US"/>
        </w:rPr>
        <w:t xml:space="preserve">, do km 31 ao km 134. Segundo </w:t>
      </w:r>
      <w:r w:rsidR="00A41A14">
        <w:rPr>
          <w:rFonts w:eastAsia="Calibri"/>
          <w:sz w:val="24"/>
          <w:szCs w:val="24"/>
          <w:lang w:eastAsia="en-US"/>
        </w:rPr>
        <w:t>o</w:t>
      </w:r>
      <w:r w:rsidR="007B17A5">
        <w:rPr>
          <w:rFonts w:eastAsia="Calibri"/>
          <w:sz w:val="24"/>
          <w:szCs w:val="24"/>
          <w:lang w:eastAsia="en-US"/>
        </w:rPr>
        <w:t xml:space="preserve"> último sendo do</w:t>
      </w:r>
      <w:r w:rsidR="00A41A14">
        <w:rPr>
          <w:rFonts w:eastAsia="Calibri"/>
          <w:sz w:val="24"/>
          <w:szCs w:val="24"/>
          <w:lang w:eastAsia="en-US"/>
        </w:rPr>
        <w:t xml:space="preserve"> </w:t>
      </w:r>
      <w:r w:rsidR="009F5F89">
        <w:rPr>
          <w:rFonts w:eastAsia="Calibri"/>
          <w:sz w:val="24"/>
          <w:szCs w:val="24"/>
          <w:lang w:eastAsia="en-US"/>
        </w:rPr>
        <w:t>IBGE</w:t>
      </w:r>
      <w:r w:rsidR="007B17A5">
        <w:rPr>
          <w:rFonts w:eastAsia="Calibri"/>
          <w:sz w:val="24"/>
          <w:szCs w:val="24"/>
          <w:lang w:eastAsia="en-US"/>
        </w:rPr>
        <w:t xml:space="preserve"> (2022</w:t>
      </w:r>
      <w:r w:rsidR="00A41A14">
        <w:rPr>
          <w:rFonts w:eastAsia="Calibri"/>
          <w:sz w:val="24"/>
          <w:szCs w:val="24"/>
          <w:lang w:eastAsia="en-US"/>
        </w:rPr>
        <w:t xml:space="preserve">) </w:t>
      </w:r>
      <w:r w:rsidR="009F5F89">
        <w:rPr>
          <w:rFonts w:eastAsia="Calibri"/>
          <w:sz w:val="24"/>
          <w:szCs w:val="24"/>
          <w:lang w:eastAsia="en-US"/>
        </w:rPr>
        <w:t xml:space="preserve">a região conta com cerca de 260 mil habitantes sendo </w:t>
      </w:r>
      <w:r w:rsidR="007B17A5">
        <w:rPr>
          <w:rFonts w:eastAsia="Calibri"/>
          <w:sz w:val="24"/>
          <w:szCs w:val="24"/>
          <w:lang w:eastAsia="en-US"/>
        </w:rPr>
        <w:t>Paranavaí o principal município</w:t>
      </w:r>
      <w:r w:rsidR="00A41A14" w:rsidRPr="00A41A14">
        <w:rPr>
          <w:rFonts w:eastAsia="Calibri"/>
          <w:color w:val="C00000"/>
          <w:sz w:val="24"/>
          <w:szCs w:val="24"/>
          <w:lang w:eastAsia="en-US"/>
        </w:rPr>
        <w:t xml:space="preserve"> </w:t>
      </w:r>
      <w:r w:rsidR="009F5F89">
        <w:rPr>
          <w:rFonts w:eastAsia="Calibri"/>
          <w:sz w:val="24"/>
          <w:szCs w:val="24"/>
          <w:lang w:eastAsia="en-US"/>
        </w:rPr>
        <w:t>de 92</w:t>
      </w:r>
      <w:r w:rsidR="007B17A5">
        <w:rPr>
          <w:rFonts w:eastAsia="Calibri"/>
          <w:sz w:val="24"/>
          <w:szCs w:val="24"/>
          <w:lang w:eastAsia="en-US"/>
        </w:rPr>
        <w:t>.001</w:t>
      </w:r>
      <w:r w:rsidR="009F5F89">
        <w:rPr>
          <w:rFonts w:eastAsia="Calibri"/>
          <w:sz w:val="24"/>
          <w:szCs w:val="24"/>
          <w:lang w:eastAsia="en-US"/>
        </w:rPr>
        <w:t xml:space="preserve"> mil habitantes</w:t>
      </w:r>
      <w:r w:rsidR="00A41A14">
        <w:rPr>
          <w:rFonts w:eastAsia="Calibri"/>
          <w:sz w:val="24"/>
          <w:szCs w:val="24"/>
          <w:lang w:eastAsia="en-US"/>
        </w:rPr>
        <w:t xml:space="preserve"> </w:t>
      </w:r>
    </w:p>
    <w:p w:rsidR="009F5F89" w:rsidRDefault="00A41A14" w:rsidP="009F5F89">
      <w:pPr>
        <w:spacing w:after="200" w:line="360" w:lineRule="auto"/>
        <w:ind w:firstLine="708"/>
        <w:jc w:val="both"/>
        <w:rPr>
          <w:rFonts w:eastAsia="Calibri"/>
          <w:sz w:val="24"/>
          <w:szCs w:val="24"/>
          <w:lang w:eastAsia="en-US"/>
        </w:rPr>
      </w:pPr>
      <w:r>
        <w:rPr>
          <w:rFonts w:eastAsia="Calibri"/>
          <w:sz w:val="24"/>
          <w:szCs w:val="24"/>
          <w:lang w:eastAsia="en-US"/>
        </w:rPr>
        <w:t>C</w:t>
      </w:r>
      <w:r w:rsidR="00B83653">
        <w:rPr>
          <w:rFonts w:eastAsia="Calibri"/>
          <w:sz w:val="24"/>
          <w:szCs w:val="24"/>
          <w:lang w:eastAsia="en-US"/>
        </w:rPr>
        <w:t>onsider</w:t>
      </w:r>
      <w:r>
        <w:rPr>
          <w:rFonts w:eastAsia="Calibri"/>
          <w:sz w:val="24"/>
          <w:szCs w:val="24"/>
          <w:lang w:eastAsia="en-US"/>
        </w:rPr>
        <w:t>ou-se</w:t>
      </w:r>
      <w:r w:rsidR="00B83653">
        <w:rPr>
          <w:rFonts w:eastAsia="Calibri"/>
          <w:sz w:val="24"/>
          <w:szCs w:val="24"/>
          <w:lang w:eastAsia="en-US"/>
        </w:rPr>
        <w:t xml:space="preserve"> </w:t>
      </w:r>
      <w:r>
        <w:rPr>
          <w:rFonts w:eastAsia="Calibri"/>
          <w:sz w:val="24"/>
          <w:szCs w:val="24"/>
          <w:lang w:eastAsia="en-US"/>
        </w:rPr>
        <w:t xml:space="preserve">as </w:t>
      </w:r>
      <w:r w:rsidR="002D50A5">
        <w:rPr>
          <w:rFonts w:eastAsia="Calibri"/>
          <w:sz w:val="24"/>
          <w:szCs w:val="24"/>
          <w:lang w:eastAsia="en-US"/>
        </w:rPr>
        <w:t>variáveis</w:t>
      </w:r>
      <w:r>
        <w:rPr>
          <w:rFonts w:eastAsia="Calibri"/>
          <w:sz w:val="24"/>
          <w:szCs w:val="24"/>
          <w:lang w:eastAsia="en-US"/>
        </w:rPr>
        <w:t xml:space="preserve"> sobre</w:t>
      </w:r>
      <w:r w:rsidR="00B83653">
        <w:rPr>
          <w:rFonts w:eastAsia="Calibri"/>
          <w:sz w:val="24"/>
          <w:szCs w:val="24"/>
          <w:lang w:eastAsia="en-US"/>
        </w:rPr>
        <w:t xml:space="preserve"> clima e meio ambiente,</w:t>
      </w:r>
      <w:r w:rsidR="00B83653" w:rsidRPr="00B83653">
        <w:rPr>
          <w:rFonts w:eastAsia="Calibri"/>
          <w:sz w:val="24"/>
          <w:szCs w:val="24"/>
          <w:lang w:eastAsia="en-US"/>
        </w:rPr>
        <w:t xml:space="preserve"> </w:t>
      </w:r>
      <w:r w:rsidR="009F5F89">
        <w:rPr>
          <w:rFonts w:eastAsia="Calibri"/>
          <w:sz w:val="24"/>
          <w:szCs w:val="24"/>
          <w:lang w:eastAsia="en-US"/>
        </w:rPr>
        <w:t>aspectos</w:t>
      </w:r>
      <w:r w:rsidR="009F5F89" w:rsidRPr="00DB3E48">
        <w:rPr>
          <w:rFonts w:eastAsia="Calibri"/>
          <w:sz w:val="24"/>
          <w:szCs w:val="24"/>
          <w:lang w:eastAsia="en-US"/>
        </w:rPr>
        <w:t xml:space="preserve"> sócios demográficos</w:t>
      </w:r>
      <w:r w:rsidR="00B83653">
        <w:rPr>
          <w:rFonts w:eastAsia="Calibri"/>
          <w:sz w:val="24"/>
          <w:szCs w:val="24"/>
          <w:lang w:eastAsia="en-US"/>
        </w:rPr>
        <w:t xml:space="preserve"> e fatores e causas do</w:t>
      </w:r>
      <w:r w:rsidR="009F5F89">
        <w:rPr>
          <w:rFonts w:eastAsia="Calibri"/>
          <w:sz w:val="24"/>
          <w:szCs w:val="24"/>
          <w:lang w:eastAsia="en-US"/>
        </w:rPr>
        <w:t>s</w:t>
      </w:r>
      <w:r w:rsidR="00B83653">
        <w:rPr>
          <w:rFonts w:eastAsia="Calibri"/>
          <w:sz w:val="24"/>
          <w:szCs w:val="24"/>
          <w:lang w:eastAsia="en-US"/>
        </w:rPr>
        <w:t xml:space="preserve"> acidente</w:t>
      </w:r>
      <w:r w:rsidR="009F5F89">
        <w:rPr>
          <w:rFonts w:eastAsia="Calibri"/>
          <w:sz w:val="24"/>
          <w:szCs w:val="24"/>
          <w:lang w:eastAsia="en-US"/>
        </w:rPr>
        <w:t>s</w:t>
      </w:r>
      <w:r w:rsidR="002D50A5">
        <w:rPr>
          <w:rFonts w:eastAsia="Calibri"/>
          <w:sz w:val="24"/>
          <w:szCs w:val="24"/>
          <w:lang w:eastAsia="en-US"/>
        </w:rPr>
        <w:t xml:space="preserve">: </w:t>
      </w:r>
      <w:r w:rsidR="006E2512" w:rsidRPr="00DB3E48">
        <w:rPr>
          <w:rFonts w:eastAsia="Calibri"/>
          <w:sz w:val="24"/>
          <w:szCs w:val="24"/>
          <w:lang w:eastAsia="en-US"/>
        </w:rPr>
        <w:t>dias da semana</w:t>
      </w:r>
      <w:r w:rsidR="00550548">
        <w:rPr>
          <w:rFonts w:eastAsia="Calibri"/>
          <w:sz w:val="24"/>
          <w:szCs w:val="24"/>
          <w:lang w:eastAsia="en-US"/>
        </w:rPr>
        <w:t>(segunda, terça, quarta, quinta, sexta, sábado e domingo)</w:t>
      </w:r>
      <w:r w:rsidR="006E2512" w:rsidRPr="00DB3E48">
        <w:rPr>
          <w:rFonts w:eastAsia="Calibri"/>
          <w:sz w:val="24"/>
          <w:szCs w:val="24"/>
          <w:lang w:eastAsia="en-US"/>
        </w:rPr>
        <w:t>; período do dia</w:t>
      </w:r>
      <w:r w:rsidR="00550548">
        <w:rPr>
          <w:rFonts w:eastAsia="Calibri"/>
          <w:sz w:val="24"/>
          <w:szCs w:val="24"/>
          <w:lang w:eastAsia="en-US"/>
        </w:rPr>
        <w:t xml:space="preserve"> (manh</w:t>
      </w:r>
      <w:r w:rsidR="002D50A5">
        <w:rPr>
          <w:rFonts w:eastAsia="Calibri"/>
          <w:sz w:val="24"/>
          <w:szCs w:val="24"/>
          <w:lang w:eastAsia="en-US"/>
        </w:rPr>
        <w:t>ã, tarde, noite, madrugada)</w:t>
      </w:r>
      <w:r w:rsidR="006E2512" w:rsidRPr="00DB3E48">
        <w:rPr>
          <w:rFonts w:eastAsia="Calibri"/>
          <w:sz w:val="24"/>
          <w:szCs w:val="24"/>
          <w:lang w:eastAsia="en-US"/>
        </w:rPr>
        <w:t>; f</w:t>
      </w:r>
      <w:r w:rsidR="009F5F89">
        <w:rPr>
          <w:rFonts w:eastAsia="Calibri"/>
          <w:sz w:val="24"/>
          <w:szCs w:val="24"/>
          <w:lang w:eastAsia="en-US"/>
        </w:rPr>
        <w:t>aze do dia</w:t>
      </w:r>
      <w:r w:rsidR="00550548">
        <w:rPr>
          <w:rFonts w:eastAsia="Calibri"/>
          <w:sz w:val="24"/>
          <w:szCs w:val="24"/>
          <w:lang w:eastAsia="en-US"/>
        </w:rPr>
        <w:t xml:space="preserve"> (amanhecer, pleno do dia, anoitecer, pleno da noite); tipo de pista (simples, dupla);  </w:t>
      </w:r>
      <w:r w:rsidR="002D50A5">
        <w:rPr>
          <w:rFonts w:eastAsia="Calibri"/>
          <w:sz w:val="24"/>
          <w:szCs w:val="24"/>
          <w:lang w:eastAsia="en-US"/>
        </w:rPr>
        <w:t>c</w:t>
      </w:r>
      <w:r w:rsidR="009B2A7D">
        <w:rPr>
          <w:rFonts w:eastAsia="Calibri"/>
          <w:sz w:val="24"/>
          <w:szCs w:val="24"/>
          <w:lang w:eastAsia="en-US"/>
        </w:rPr>
        <w:t xml:space="preserve">ondição </w:t>
      </w:r>
      <w:r w:rsidR="002D50A5">
        <w:rPr>
          <w:rFonts w:eastAsia="Calibri"/>
          <w:sz w:val="24"/>
          <w:szCs w:val="24"/>
          <w:lang w:eastAsia="en-US"/>
        </w:rPr>
        <w:t>m</w:t>
      </w:r>
      <w:r w:rsidR="009B2A7D">
        <w:rPr>
          <w:rFonts w:eastAsia="Calibri"/>
          <w:sz w:val="24"/>
          <w:szCs w:val="24"/>
          <w:lang w:eastAsia="en-US"/>
        </w:rPr>
        <w:t>eteorológica ( sol, chuva, neblina, garoa, nublado); tipo de envolvidos (condutores, passageiros, pedestres e testemunhas); estado físico (ileso, feridos leves, feridos graves e óbitos); sexo (feminino e masculino);</w:t>
      </w:r>
      <w:r w:rsidR="002D50A5">
        <w:rPr>
          <w:rFonts w:eastAsia="Calibri"/>
          <w:sz w:val="24"/>
          <w:szCs w:val="24"/>
          <w:lang w:eastAsia="en-US"/>
        </w:rPr>
        <w:t xml:space="preserve"> </w:t>
      </w:r>
      <w:r w:rsidR="009B2A7D">
        <w:rPr>
          <w:rFonts w:eastAsia="Calibri"/>
          <w:sz w:val="24"/>
          <w:szCs w:val="24"/>
          <w:lang w:eastAsia="en-US"/>
        </w:rPr>
        <w:t xml:space="preserve"> faixa etária de acordo com o</w:t>
      </w:r>
      <w:r w:rsidR="007B17A5">
        <w:rPr>
          <w:rFonts w:eastAsia="Calibri"/>
          <w:sz w:val="24"/>
          <w:szCs w:val="24"/>
          <w:lang w:eastAsia="en-US"/>
        </w:rPr>
        <w:t xml:space="preserve"> Estatuto da Criança e do Adolescente </w:t>
      </w:r>
      <w:r w:rsidR="009B2A7D">
        <w:rPr>
          <w:rFonts w:eastAsia="Calibri"/>
          <w:sz w:val="24"/>
          <w:szCs w:val="24"/>
          <w:lang w:eastAsia="en-US"/>
        </w:rPr>
        <w:t xml:space="preserve">(criança de 0 a 13 anos, adolescente de 14 a 17 anos, jovem de 18 a 29 anos, adulto de 30 a 59 anos e </w:t>
      </w:r>
      <w:r w:rsidR="009B2A7D">
        <w:rPr>
          <w:rFonts w:eastAsia="Calibri"/>
          <w:sz w:val="24"/>
          <w:szCs w:val="24"/>
          <w:lang w:eastAsia="en-US"/>
        </w:rPr>
        <w:lastRenderedPageBreak/>
        <w:t>idosos acima de 60 anos); causas acidentes (</w:t>
      </w:r>
      <w:r w:rsidR="002D50A5">
        <w:rPr>
          <w:rFonts w:eastAsia="Calibri"/>
          <w:sz w:val="24"/>
          <w:szCs w:val="24"/>
          <w:lang w:eastAsia="en-US"/>
        </w:rPr>
        <w:t>f</w:t>
      </w:r>
      <w:r w:rsidR="009B2A7D">
        <w:rPr>
          <w:rFonts w:eastAsia="Calibri"/>
          <w:sz w:val="24"/>
          <w:szCs w:val="24"/>
          <w:lang w:eastAsia="en-US"/>
        </w:rPr>
        <w:t>atores humanos, infraestrutura e meio ambiente e veículo); tipo de acidentes</w:t>
      </w:r>
      <w:r w:rsidR="002D50A5">
        <w:rPr>
          <w:rFonts w:eastAsia="Calibri"/>
          <w:sz w:val="24"/>
          <w:szCs w:val="24"/>
          <w:lang w:eastAsia="en-US"/>
        </w:rPr>
        <w:t xml:space="preserve"> (</w:t>
      </w:r>
      <w:r w:rsidR="009B2A7D">
        <w:rPr>
          <w:rFonts w:eastAsia="Calibri"/>
          <w:sz w:val="24"/>
          <w:szCs w:val="24"/>
          <w:lang w:eastAsia="en-US"/>
        </w:rPr>
        <w:t>derramamento de carga, colisão transversal, colisão frontal, colisão traseira, colisão lateral, atropelamento de animal, atropelamento de pedestres, capotamento</w:t>
      </w:r>
      <w:r w:rsidR="00A47DAB">
        <w:rPr>
          <w:rFonts w:eastAsia="Calibri"/>
          <w:sz w:val="24"/>
          <w:szCs w:val="24"/>
          <w:lang w:eastAsia="en-US"/>
        </w:rPr>
        <w:t>, colisão com objetos, incêndio, queda de ocupante do veículo, tombamento, saída do leito carroçável, danos eventuais e engavetamento)</w:t>
      </w:r>
      <w:r w:rsidR="002D50A5">
        <w:rPr>
          <w:rFonts w:eastAsia="Calibri"/>
          <w:sz w:val="24"/>
          <w:szCs w:val="24"/>
          <w:lang w:eastAsia="en-US"/>
        </w:rPr>
        <w:t>; motivos dos acidentes (</w:t>
      </w:r>
      <w:r w:rsidR="00A47DAB">
        <w:rPr>
          <w:rFonts w:eastAsia="Calibri"/>
          <w:sz w:val="24"/>
          <w:szCs w:val="24"/>
          <w:lang w:eastAsia="en-US"/>
        </w:rPr>
        <w:t>animais na pista, defeito mecânico, defeito na via ou sinalização, desrespeito as normas de trânsito, falta de atenção, imprudência, ingestão de álcool ou drogas, mal súbito, fatores climáticos e agressão externa)</w:t>
      </w:r>
      <w:r w:rsidR="002D50A5">
        <w:rPr>
          <w:rFonts w:eastAsia="Calibri"/>
          <w:sz w:val="24"/>
          <w:szCs w:val="24"/>
          <w:lang w:eastAsia="en-US"/>
        </w:rPr>
        <w:t>.</w:t>
      </w:r>
    </w:p>
    <w:p w:rsidR="002D10A8" w:rsidRPr="00DB3E48" w:rsidRDefault="002D10A8" w:rsidP="002D10A8">
      <w:pPr>
        <w:spacing w:line="360" w:lineRule="auto"/>
        <w:ind w:firstLine="709"/>
        <w:jc w:val="both"/>
        <w:rPr>
          <w:strike/>
          <w:sz w:val="24"/>
          <w:szCs w:val="24"/>
        </w:rPr>
      </w:pPr>
    </w:p>
    <w:p w:rsidR="00E84F72" w:rsidRDefault="00BF7320" w:rsidP="009F5F89">
      <w:pPr>
        <w:spacing w:line="360" w:lineRule="auto"/>
        <w:jc w:val="both"/>
        <w:rPr>
          <w:b/>
          <w:sz w:val="24"/>
          <w:szCs w:val="24"/>
        </w:rPr>
      </w:pPr>
      <w:bookmarkStart w:id="1" w:name="page3"/>
      <w:bookmarkEnd w:id="1"/>
      <w:r w:rsidRPr="00DB3E48">
        <w:rPr>
          <w:b/>
          <w:sz w:val="24"/>
          <w:szCs w:val="24"/>
        </w:rPr>
        <w:t>RESULTADOS E DISCUSSÕES</w:t>
      </w:r>
    </w:p>
    <w:p w:rsidR="009F5F89" w:rsidRPr="009F5F89" w:rsidRDefault="009F5F89" w:rsidP="009F5F89">
      <w:pPr>
        <w:spacing w:line="360" w:lineRule="auto"/>
        <w:jc w:val="both"/>
        <w:rPr>
          <w:b/>
          <w:sz w:val="24"/>
          <w:szCs w:val="24"/>
        </w:rPr>
      </w:pPr>
    </w:p>
    <w:p w:rsidR="00E84F72" w:rsidRPr="00DB3E48" w:rsidRDefault="00E84F72" w:rsidP="00E84F72">
      <w:pPr>
        <w:spacing w:after="200" w:line="360" w:lineRule="auto"/>
        <w:ind w:firstLine="708"/>
        <w:jc w:val="both"/>
        <w:rPr>
          <w:rFonts w:eastAsia="Calibri"/>
          <w:sz w:val="24"/>
          <w:szCs w:val="24"/>
          <w:lang w:eastAsia="en-US"/>
        </w:rPr>
      </w:pPr>
      <w:r w:rsidRPr="00DB3E48">
        <w:rPr>
          <w:rFonts w:eastAsia="Calibri"/>
          <w:sz w:val="24"/>
          <w:szCs w:val="24"/>
          <w:lang w:eastAsia="en-US"/>
        </w:rPr>
        <w:t>Verificou-se que no período pré-pandemia</w:t>
      </w:r>
      <w:r w:rsidR="002D50A5">
        <w:rPr>
          <w:rFonts w:eastAsia="Calibri"/>
          <w:sz w:val="24"/>
          <w:szCs w:val="24"/>
          <w:lang w:eastAsia="en-US"/>
        </w:rPr>
        <w:t xml:space="preserve"> (2017 a 2019)</w:t>
      </w:r>
      <w:r w:rsidRPr="00DB3E48">
        <w:rPr>
          <w:rFonts w:eastAsia="Calibri"/>
          <w:sz w:val="24"/>
          <w:szCs w:val="24"/>
          <w:lang w:eastAsia="en-US"/>
        </w:rPr>
        <w:t xml:space="preserve"> ocorreram um total de 676 acidentes de trânsitos nas rodovias federais da 14° Regional de Saúde de Paranavaí ao comparar com 469 acidentes no período pandêmico</w:t>
      </w:r>
      <w:r w:rsidR="002D50A5">
        <w:rPr>
          <w:rFonts w:eastAsia="Calibri"/>
          <w:sz w:val="24"/>
          <w:szCs w:val="24"/>
          <w:lang w:eastAsia="en-US"/>
        </w:rPr>
        <w:t xml:space="preserve"> (2020 a 2022)</w:t>
      </w:r>
      <w:r w:rsidRPr="00DB3E48">
        <w:rPr>
          <w:rFonts w:eastAsia="Calibri"/>
          <w:sz w:val="24"/>
          <w:szCs w:val="24"/>
          <w:lang w:eastAsia="en-US"/>
        </w:rPr>
        <w:t>, constatando uma diminuição de 44,1% ao primeiro período</w:t>
      </w:r>
      <w:r w:rsidR="007B17A5">
        <w:rPr>
          <w:rFonts w:eastAsia="Calibri"/>
          <w:sz w:val="24"/>
          <w:szCs w:val="24"/>
          <w:lang w:eastAsia="en-US"/>
        </w:rPr>
        <w:t xml:space="preserve"> (tabela</w:t>
      </w:r>
      <w:r>
        <w:rPr>
          <w:rFonts w:eastAsia="Calibri"/>
          <w:sz w:val="24"/>
          <w:szCs w:val="24"/>
          <w:lang w:eastAsia="en-US"/>
        </w:rPr>
        <w:t xml:space="preserve"> 1).</w:t>
      </w:r>
    </w:p>
    <w:p w:rsidR="00863408" w:rsidRPr="00DB3E48" w:rsidRDefault="002B67F9" w:rsidP="00863408">
      <w:pPr>
        <w:spacing w:after="200" w:line="360" w:lineRule="auto"/>
        <w:jc w:val="both"/>
        <w:rPr>
          <w:rFonts w:eastAsia="Calibri"/>
          <w:sz w:val="24"/>
          <w:szCs w:val="24"/>
          <w:lang w:eastAsia="en-US"/>
        </w:rPr>
      </w:pPr>
      <w:r>
        <w:rPr>
          <w:rFonts w:eastAsia="Calibri"/>
          <w:sz w:val="24"/>
          <w:szCs w:val="24"/>
          <w:lang w:eastAsia="en-US"/>
        </w:rPr>
        <w:t>Tabela</w:t>
      </w:r>
      <w:r w:rsidR="00863408" w:rsidRPr="00DB3E48">
        <w:rPr>
          <w:rFonts w:eastAsia="Calibri"/>
          <w:sz w:val="24"/>
          <w:szCs w:val="24"/>
          <w:lang w:eastAsia="en-US"/>
        </w:rPr>
        <w:t xml:space="preserve"> 1: Representação da serie histórica de acidentes de transito nas rodovias federais da 14° Regional de Saúde de Paranavaí dos anos que antecedem a pandemia de COVID-19 e os anos durante a pandemia. Paranavaí em números absolutos e porcentagem respectivamente (2017-2022)</w:t>
      </w:r>
    </w:p>
    <w:tbl>
      <w:tblPr>
        <w:tblW w:w="7740" w:type="dxa"/>
        <w:tblInd w:w="55" w:type="dxa"/>
        <w:tblCellMar>
          <w:left w:w="70" w:type="dxa"/>
          <w:right w:w="70" w:type="dxa"/>
        </w:tblCellMar>
        <w:tblLook w:val="04A0" w:firstRow="1" w:lastRow="0" w:firstColumn="1" w:lastColumn="0" w:noHBand="0" w:noVBand="1"/>
      </w:tblPr>
      <w:tblGrid>
        <w:gridCol w:w="1433"/>
        <w:gridCol w:w="1267"/>
        <w:gridCol w:w="1160"/>
        <w:gridCol w:w="1400"/>
        <w:gridCol w:w="1300"/>
        <w:gridCol w:w="1180"/>
      </w:tblGrid>
      <w:tr w:rsidR="00863408" w:rsidRPr="00DB3E48" w:rsidTr="009D4F96">
        <w:trPr>
          <w:trHeight w:val="300"/>
        </w:trPr>
        <w:tc>
          <w:tcPr>
            <w:tcW w:w="1433" w:type="dxa"/>
            <w:tcBorders>
              <w:top w:val="single" w:sz="4" w:space="0" w:color="auto"/>
              <w:left w:val="single" w:sz="4" w:space="0" w:color="95B3D7"/>
              <w:bottom w:val="single" w:sz="4" w:space="0" w:color="auto"/>
              <w:right w:val="nil"/>
            </w:tcBorders>
            <w:shd w:val="clear" w:color="DCE6F1" w:fill="DCE6F1"/>
            <w:noWrap/>
            <w:vAlign w:val="bottom"/>
            <w:hideMark/>
          </w:tcPr>
          <w:p w:rsidR="00863408" w:rsidRDefault="00863408" w:rsidP="00E84F72">
            <w:pPr>
              <w:jc w:val="center"/>
              <w:rPr>
                <w:color w:val="000000"/>
                <w:sz w:val="22"/>
                <w:szCs w:val="22"/>
              </w:rPr>
            </w:pPr>
            <w:r w:rsidRPr="00DB3E48">
              <w:rPr>
                <w:color w:val="000000"/>
                <w:sz w:val="22"/>
                <w:szCs w:val="22"/>
              </w:rPr>
              <w:t>Pré Pandemia</w:t>
            </w:r>
          </w:p>
          <w:p w:rsidR="002B67F9" w:rsidRPr="00DB3E48" w:rsidRDefault="002B67F9" w:rsidP="00E84F72">
            <w:pPr>
              <w:jc w:val="center"/>
              <w:rPr>
                <w:b/>
                <w:bCs/>
                <w:color w:val="FFFFFF"/>
                <w:sz w:val="22"/>
                <w:szCs w:val="22"/>
              </w:rPr>
            </w:pPr>
            <w:r>
              <w:rPr>
                <w:color w:val="000000"/>
                <w:sz w:val="22"/>
                <w:szCs w:val="22"/>
              </w:rPr>
              <w:t>(2017-2019)</w:t>
            </w:r>
          </w:p>
        </w:tc>
        <w:tc>
          <w:tcPr>
            <w:tcW w:w="1267" w:type="dxa"/>
            <w:tcBorders>
              <w:top w:val="single" w:sz="4" w:space="0" w:color="auto"/>
              <w:left w:val="nil"/>
              <w:bottom w:val="single" w:sz="4" w:space="0" w:color="auto"/>
              <w:right w:val="nil"/>
            </w:tcBorders>
            <w:shd w:val="clear" w:color="DCE6F1" w:fill="DCE6F1"/>
            <w:noWrap/>
            <w:vAlign w:val="bottom"/>
            <w:hideMark/>
          </w:tcPr>
          <w:p w:rsidR="00863408" w:rsidRPr="00DB3E48" w:rsidRDefault="002B67F9" w:rsidP="002B67F9">
            <w:pPr>
              <w:jc w:val="center"/>
              <w:rPr>
                <w:b/>
                <w:bCs/>
                <w:color w:val="FFFFFF"/>
                <w:sz w:val="22"/>
                <w:szCs w:val="22"/>
              </w:rPr>
            </w:pPr>
            <w:r>
              <w:rPr>
                <w:color w:val="000000"/>
                <w:sz w:val="22"/>
                <w:szCs w:val="22"/>
              </w:rPr>
              <w:t>N</w:t>
            </w:r>
          </w:p>
        </w:tc>
        <w:tc>
          <w:tcPr>
            <w:tcW w:w="1160" w:type="dxa"/>
            <w:tcBorders>
              <w:top w:val="single" w:sz="4" w:space="0" w:color="auto"/>
              <w:left w:val="nil"/>
              <w:bottom w:val="single" w:sz="4" w:space="0" w:color="auto"/>
              <w:right w:val="nil"/>
            </w:tcBorders>
            <w:shd w:val="clear" w:color="DCE6F1" w:fill="DCE6F1"/>
            <w:noWrap/>
            <w:vAlign w:val="bottom"/>
            <w:hideMark/>
          </w:tcPr>
          <w:p w:rsidR="00863408" w:rsidRPr="00DB3E48" w:rsidRDefault="00863408" w:rsidP="00E84F72">
            <w:pPr>
              <w:jc w:val="center"/>
              <w:rPr>
                <w:b/>
                <w:bCs/>
                <w:color w:val="FFFFFF"/>
                <w:sz w:val="22"/>
                <w:szCs w:val="22"/>
              </w:rPr>
            </w:pPr>
            <w:r w:rsidRPr="00DB3E48">
              <w:rPr>
                <w:color w:val="000000"/>
                <w:sz w:val="22"/>
                <w:szCs w:val="22"/>
              </w:rPr>
              <w:t>%</w:t>
            </w:r>
          </w:p>
        </w:tc>
        <w:tc>
          <w:tcPr>
            <w:tcW w:w="1400" w:type="dxa"/>
            <w:tcBorders>
              <w:top w:val="single" w:sz="4" w:space="0" w:color="auto"/>
              <w:left w:val="nil"/>
              <w:bottom w:val="single" w:sz="4" w:space="0" w:color="auto"/>
              <w:right w:val="nil"/>
            </w:tcBorders>
            <w:shd w:val="clear" w:color="DCE6F1" w:fill="DCE6F1"/>
            <w:noWrap/>
            <w:vAlign w:val="bottom"/>
            <w:hideMark/>
          </w:tcPr>
          <w:p w:rsidR="00863408" w:rsidRDefault="00863408" w:rsidP="00E84F72">
            <w:pPr>
              <w:jc w:val="center"/>
              <w:rPr>
                <w:color w:val="000000"/>
                <w:sz w:val="22"/>
                <w:szCs w:val="22"/>
              </w:rPr>
            </w:pPr>
            <w:r w:rsidRPr="00DB3E48">
              <w:rPr>
                <w:color w:val="000000"/>
                <w:sz w:val="22"/>
                <w:szCs w:val="22"/>
              </w:rPr>
              <w:t>Pandemia</w:t>
            </w:r>
          </w:p>
          <w:p w:rsidR="002B67F9" w:rsidRPr="00DB3E48" w:rsidRDefault="002B67F9" w:rsidP="00E84F72">
            <w:pPr>
              <w:jc w:val="center"/>
              <w:rPr>
                <w:b/>
                <w:bCs/>
                <w:color w:val="FFFFFF"/>
                <w:sz w:val="22"/>
                <w:szCs w:val="22"/>
              </w:rPr>
            </w:pPr>
            <w:r>
              <w:rPr>
                <w:color w:val="000000"/>
                <w:sz w:val="22"/>
                <w:szCs w:val="22"/>
              </w:rPr>
              <w:t>(2020-2022)</w:t>
            </w:r>
          </w:p>
        </w:tc>
        <w:tc>
          <w:tcPr>
            <w:tcW w:w="1300" w:type="dxa"/>
            <w:tcBorders>
              <w:top w:val="single" w:sz="4" w:space="0" w:color="auto"/>
              <w:left w:val="nil"/>
              <w:bottom w:val="single" w:sz="4" w:space="0" w:color="auto"/>
              <w:right w:val="nil"/>
            </w:tcBorders>
            <w:shd w:val="clear" w:color="DCE6F1" w:fill="DCE6F1"/>
            <w:noWrap/>
            <w:vAlign w:val="bottom"/>
            <w:hideMark/>
          </w:tcPr>
          <w:p w:rsidR="00863408" w:rsidRPr="00DB3E48" w:rsidRDefault="002B67F9" w:rsidP="002B67F9">
            <w:pPr>
              <w:jc w:val="center"/>
              <w:rPr>
                <w:b/>
                <w:bCs/>
                <w:color w:val="FFFFFF"/>
                <w:sz w:val="22"/>
                <w:szCs w:val="22"/>
              </w:rPr>
            </w:pPr>
            <w:r>
              <w:rPr>
                <w:color w:val="000000"/>
                <w:sz w:val="22"/>
                <w:szCs w:val="22"/>
              </w:rPr>
              <w:t>N</w:t>
            </w:r>
          </w:p>
        </w:tc>
        <w:tc>
          <w:tcPr>
            <w:tcW w:w="1180" w:type="dxa"/>
            <w:tcBorders>
              <w:top w:val="single" w:sz="4" w:space="0" w:color="auto"/>
              <w:left w:val="nil"/>
              <w:bottom w:val="single" w:sz="4" w:space="0" w:color="auto"/>
              <w:right w:val="single" w:sz="4" w:space="0" w:color="95B3D7"/>
            </w:tcBorders>
            <w:shd w:val="clear" w:color="DCE6F1" w:fill="DCE6F1"/>
            <w:noWrap/>
            <w:vAlign w:val="bottom"/>
            <w:hideMark/>
          </w:tcPr>
          <w:p w:rsidR="00863408" w:rsidRPr="00DB3E48" w:rsidRDefault="00863408" w:rsidP="00E84F72">
            <w:pPr>
              <w:jc w:val="center"/>
              <w:rPr>
                <w:b/>
                <w:bCs/>
                <w:color w:val="FFFFFF"/>
                <w:sz w:val="22"/>
                <w:szCs w:val="22"/>
              </w:rPr>
            </w:pPr>
            <w:r w:rsidRPr="00DB3E48">
              <w:rPr>
                <w:color w:val="000000"/>
                <w:sz w:val="22"/>
                <w:szCs w:val="22"/>
              </w:rPr>
              <w:t>%</w:t>
            </w:r>
          </w:p>
        </w:tc>
      </w:tr>
      <w:tr w:rsidR="00863408" w:rsidRPr="00DB3E48" w:rsidTr="009D4F96">
        <w:trPr>
          <w:trHeight w:val="300"/>
        </w:trPr>
        <w:tc>
          <w:tcPr>
            <w:tcW w:w="1433" w:type="dxa"/>
            <w:tcBorders>
              <w:top w:val="single" w:sz="4" w:space="0" w:color="95B3D7"/>
              <w:left w:val="single" w:sz="4" w:space="0" w:color="95B3D7"/>
              <w:bottom w:val="single" w:sz="4" w:space="0" w:color="95B3D7"/>
              <w:right w:val="nil"/>
            </w:tcBorders>
            <w:shd w:val="clear" w:color="DCE6F1" w:fill="DCE6F1"/>
            <w:noWrap/>
            <w:vAlign w:val="bottom"/>
            <w:hideMark/>
          </w:tcPr>
          <w:p w:rsidR="00863408" w:rsidRPr="00DB3E48" w:rsidRDefault="00863408" w:rsidP="00E84F72">
            <w:pPr>
              <w:jc w:val="center"/>
              <w:rPr>
                <w:color w:val="000000"/>
                <w:sz w:val="22"/>
                <w:szCs w:val="22"/>
              </w:rPr>
            </w:pPr>
            <w:r w:rsidRPr="00DB3E48">
              <w:rPr>
                <w:color w:val="000000"/>
                <w:sz w:val="22"/>
                <w:szCs w:val="22"/>
              </w:rPr>
              <w:t>2017</w:t>
            </w:r>
          </w:p>
        </w:tc>
        <w:tc>
          <w:tcPr>
            <w:tcW w:w="1267" w:type="dxa"/>
            <w:tcBorders>
              <w:top w:val="single" w:sz="4" w:space="0" w:color="95B3D7"/>
              <w:left w:val="nil"/>
              <w:bottom w:val="single" w:sz="4" w:space="0" w:color="95B3D7"/>
              <w:right w:val="nil"/>
            </w:tcBorders>
            <w:shd w:val="clear" w:color="DCE6F1" w:fill="DCE6F1"/>
            <w:noWrap/>
            <w:vAlign w:val="bottom"/>
            <w:hideMark/>
          </w:tcPr>
          <w:p w:rsidR="00863408" w:rsidRPr="00DB3E48" w:rsidRDefault="00863408" w:rsidP="00E84F72">
            <w:pPr>
              <w:jc w:val="center"/>
              <w:rPr>
                <w:color w:val="000000"/>
                <w:sz w:val="22"/>
                <w:szCs w:val="22"/>
              </w:rPr>
            </w:pPr>
            <w:r w:rsidRPr="00DB3E48">
              <w:rPr>
                <w:color w:val="000000"/>
                <w:sz w:val="22"/>
                <w:szCs w:val="22"/>
              </w:rPr>
              <w:t>298</w:t>
            </w:r>
          </w:p>
        </w:tc>
        <w:tc>
          <w:tcPr>
            <w:tcW w:w="1160" w:type="dxa"/>
            <w:tcBorders>
              <w:top w:val="single" w:sz="4" w:space="0" w:color="95B3D7"/>
              <w:left w:val="nil"/>
              <w:bottom w:val="single" w:sz="4" w:space="0" w:color="95B3D7"/>
              <w:right w:val="nil"/>
            </w:tcBorders>
            <w:shd w:val="clear" w:color="DCE6F1" w:fill="DCE6F1"/>
            <w:noWrap/>
            <w:vAlign w:val="bottom"/>
            <w:hideMark/>
          </w:tcPr>
          <w:p w:rsidR="00863408" w:rsidRPr="00DB3E48" w:rsidRDefault="00863408" w:rsidP="00E84F72">
            <w:pPr>
              <w:jc w:val="center"/>
              <w:rPr>
                <w:color w:val="000000"/>
                <w:sz w:val="22"/>
                <w:szCs w:val="22"/>
              </w:rPr>
            </w:pPr>
            <w:r w:rsidRPr="00DB3E48">
              <w:rPr>
                <w:color w:val="000000"/>
                <w:sz w:val="22"/>
                <w:szCs w:val="22"/>
              </w:rPr>
              <w:t>44,1%</w:t>
            </w:r>
          </w:p>
        </w:tc>
        <w:tc>
          <w:tcPr>
            <w:tcW w:w="1400" w:type="dxa"/>
            <w:tcBorders>
              <w:top w:val="single" w:sz="4" w:space="0" w:color="95B3D7"/>
              <w:left w:val="nil"/>
              <w:bottom w:val="single" w:sz="4" w:space="0" w:color="95B3D7"/>
              <w:right w:val="nil"/>
            </w:tcBorders>
            <w:shd w:val="clear" w:color="DCE6F1" w:fill="DCE6F1"/>
            <w:noWrap/>
            <w:vAlign w:val="bottom"/>
            <w:hideMark/>
          </w:tcPr>
          <w:p w:rsidR="00863408" w:rsidRPr="00DB3E48" w:rsidRDefault="00863408" w:rsidP="00E84F72">
            <w:pPr>
              <w:jc w:val="center"/>
              <w:rPr>
                <w:color w:val="000000"/>
                <w:sz w:val="22"/>
                <w:szCs w:val="22"/>
              </w:rPr>
            </w:pPr>
            <w:r w:rsidRPr="00DB3E48">
              <w:rPr>
                <w:color w:val="000000"/>
                <w:sz w:val="22"/>
                <w:szCs w:val="22"/>
              </w:rPr>
              <w:t>2020</w:t>
            </w:r>
          </w:p>
        </w:tc>
        <w:tc>
          <w:tcPr>
            <w:tcW w:w="1300" w:type="dxa"/>
            <w:tcBorders>
              <w:top w:val="single" w:sz="4" w:space="0" w:color="95B3D7"/>
              <w:left w:val="nil"/>
              <w:bottom w:val="single" w:sz="4" w:space="0" w:color="95B3D7"/>
              <w:right w:val="nil"/>
            </w:tcBorders>
            <w:shd w:val="clear" w:color="DCE6F1" w:fill="DCE6F1"/>
            <w:noWrap/>
            <w:vAlign w:val="bottom"/>
            <w:hideMark/>
          </w:tcPr>
          <w:p w:rsidR="00863408" w:rsidRPr="00DB3E48" w:rsidRDefault="00863408" w:rsidP="00E84F72">
            <w:pPr>
              <w:jc w:val="center"/>
              <w:rPr>
                <w:color w:val="000000"/>
                <w:sz w:val="22"/>
                <w:szCs w:val="22"/>
              </w:rPr>
            </w:pPr>
            <w:r w:rsidRPr="00DB3E48">
              <w:rPr>
                <w:color w:val="000000"/>
                <w:sz w:val="22"/>
                <w:szCs w:val="22"/>
              </w:rPr>
              <w:t>140</w:t>
            </w:r>
          </w:p>
        </w:tc>
        <w:tc>
          <w:tcPr>
            <w:tcW w:w="1180" w:type="dxa"/>
            <w:tcBorders>
              <w:top w:val="single" w:sz="4" w:space="0" w:color="95B3D7"/>
              <w:left w:val="nil"/>
              <w:bottom w:val="single" w:sz="4" w:space="0" w:color="95B3D7"/>
              <w:right w:val="single" w:sz="4" w:space="0" w:color="95B3D7"/>
            </w:tcBorders>
            <w:shd w:val="clear" w:color="DCE6F1" w:fill="DCE6F1"/>
            <w:noWrap/>
            <w:vAlign w:val="bottom"/>
            <w:hideMark/>
          </w:tcPr>
          <w:p w:rsidR="00863408" w:rsidRPr="00DB3E48" w:rsidRDefault="00863408" w:rsidP="00E84F72">
            <w:pPr>
              <w:jc w:val="center"/>
              <w:rPr>
                <w:color w:val="000000"/>
                <w:sz w:val="22"/>
                <w:szCs w:val="22"/>
              </w:rPr>
            </w:pPr>
            <w:r w:rsidRPr="00DB3E48">
              <w:rPr>
                <w:color w:val="000000"/>
                <w:sz w:val="22"/>
                <w:szCs w:val="22"/>
              </w:rPr>
              <w:t>29,9%</w:t>
            </w:r>
          </w:p>
        </w:tc>
      </w:tr>
      <w:tr w:rsidR="00863408" w:rsidRPr="00DB3E48" w:rsidTr="009D4F96">
        <w:trPr>
          <w:trHeight w:val="300"/>
        </w:trPr>
        <w:tc>
          <w:tcPr>
            <w:tcW w:w="1433" w:type="dxa"/>
            <w:tcBorders>
              <w:top w:val="single" w:sz="4" w:space="0" w:color="95B3D7"/>
              <w:left w:val="single" w:sz="4" w:space="0" w:color="95B3D7"/>
              <w:bottom w:val="single" w:sz="4" w:space="0" w:color="95B3D7"/>
              <w:right w:val="nil"/>
            </w:tcBorders>
            <w:shd w:val="clear" w:color="auto" w:fill="auto"/>
            <w:noWrap/>
            <w:vAlign w:val="bottom"/>
            <w:hideMark/>
          </w:tcPr>
          <w:p w:rsidR="00863408" w:rsidRPr="00DB3E48" w:rsidRDefault="00863408" w:rsidP="00E84F72">
            <w:pPr>
              <w:jc w:val="center"/>
              <w:rPr>
                <w:color w:val="000000"/>
                <w:sz w:val="22"/>
                <w:szCs w:val="22"/>
              </w:rPr>
            </w:pPr>
            <w:r w:rsidRPr="00DB3E48">
              <w:rPr>
                <w:color w:val="000000"/>
                <w:sz w:val="22"/>
                <w:szCs w:val="22"/>
              </w:rPr>
              <w:t>2018</w:t>
            </w:r>
          </w:p>
        </w:tc>
        <w:tc>
          <w:tcPr>
            <w:tcW w:w="1267" w:type="dxa"/>
            <w:tcBorders>
              <w:top w:val="single" w:sz="4" w:space="0" w:color="95B3D7"/>
              <w:left w:val="nil"/>
              <w:bottom w:val="single" w:sz="4" w:space="0" w:color="95B3D7"/>
              <w:right w:val="nil"/>
            </w:tcBorders>
            <w:shd w:val="clear" w:color="auto" w:fill="auto"/>
            <w:noWrap/>
            <w:vAlign w:val="bottom"/>
            <w:hideMark/>
          </w:tcPr>
          <w:p w:rsidR="00863408" w:rsidRPr="00DB3E48" w:rsidRDefault="00863408" w:rsidP="00E84F72">
            <w:pPr>
              <w:jc w:val="center"/>
              <w:rPr>
                <w:color w:val="000000"/>
                <w:sz w:val="22"/>
                <w:szCs w:val="22"/>
              </w:rPr>
            </w:pPr>
            <w:r w:rsidRPr="00DB3E48">
              <w:rPr>
                <w:color w:val="000000"/>
                <w:sz w:val="22"/>
                <w:szCs w:val="22"/>
              </w:rPr>
              <w:t>200</w:t>
            </w:r>
          </w:p>
        </w:tc>
        <w:tc>
          <w:tcPr>
            <w:tcW w:w="1160" w:type="dxa"/>
            <w:tcBorders>
              <w:top w:val="single" w:sz="4" w:space="0" w:color="95B3D7"/>
              <w:left w:val="nil"/>
              <w:bottom w:val="single" w:sz="4" w:space="0" w:color="95B3D7"/>
              <w:right w:val="nil"/>
            </w:tcBorders>
            <w:shd w:val="clear" w:color="auto" w:fill="auto"/>
            <w:noWrap/>
            <w:vAlign w:val="bottom"/>
            <w:hideMark/>
          </w:tcPr>
          <w:p w:rsidR="00863408" w:rsidRPr="00DB3E48" w:rsidRDefault="00863408" w:rsidP="00E84F72">
            <w:pPr>
              <w:jc w:val="center"/>
              <w:rPr>
                <w:color w:val="000000"/>
                <w:sz w:val="22"/>
                <w:szCs w:val="22"/>
              </w:rPr>
            </w:pPr>
            <w:r w:rsidRPr="00DB3E48">
              <w:rPr>
                <w:color w:val="000000"/>
                <w:sz w:val="22"/>
                <w:szCs w:val="22"/>
              </w:rPr>
              <w:t>29,6%</w:t>
            </w:r>
          </w:p>
        </w:tc>
        <w:tc>
          <w:tcPr>
            <w:tcW w:w="1400" w:type="dxa"/>
            <w:tcBorders>
              <w:top w:val="single" w:sz="4" w:space="0" w:color="95B3D7"/>
              <w:left w:val="nil"/>
              <w:bottom w:val="single" w:sz="4" w:space="0" w:color="95B3D7"/>
              <w:right w:val="nil"/>
            </w:tcBorders>
            <w:shd w:val="clear" w:color="auto" w:fill="auto"/>
            <w:noWrap/>
            <w:vAlign w:val="bottom"/>
            <w:hideMark/>
          </w:tcPr>
          <w:p w:rsidR="00863408" w:rsidRPr="00DB3E48" w:rsidRDefault="00863408" w:rsidP="00E84F72">
            <w:pPr>
              <w:jc w:val="center"/>
              <w:rPr>
                <w:color w:val="000000"/>
                <w:sz w:val="22"/>
                <w:szCs w:val="22"/>
              </w:rPr>
            </w:pPr>
            <w:r w:rsidRPr="00DB3E48">
              <w:rPr>
                <w:color w:val="000000"/>
                <w:sz w:val="22"/>
                <w:szCs w:val="22"/>
              </w:rPr>
              <w:t>2021</w:t>
            </w:r>
          </w:p>
        </w:tc>
        <w:tc>
          <w:tcPr>
            <w:tcW w:w="1300" w:type="dxa"/>
            <w:tcBorders>
              <w:top w:val="single" w:sz="4" w:space="0" w:color="95B3D7"/>
              <w:left w:val="nil"/>
              <w:bottom w:val="single" w:sz="4" w:space="0" w:color="95B3D7"/>
              <w:right w:val="nil"/>
            </w:tcBorders>
            <w:shd w:val="clear" w:color="auto" w:fill="auto"/>
            <w:noWrap/>
            <w:vAlign w:val="bottom"/>
            <w:hideMark/>
          </w:tcPr>
          <w:p w:rsidR="00863408" w:rsidRPr="00DB3E48" w:rsidRDefault="00863408" w:rsidP="00E84F72">
            <w:pPr>
              <w:jc w:val="center"/>
              <w:rPr>
                <w:color w:val="000000"/>
                <w:sz w:val="22"/>
                <w:szCs w:val="22"/>
              </w:rPr>
            </w:pPr>
            <w:r w:rsidRPr="00DB3E48">
              <w:rPr>
                <w:color w:val="000000"/>
                <w:sz w:val="22"/>
                <w:szCs w:val="22"/>
              </w:rPr>
              <w:t>171</w:t>
            </w:r>
          </w:p>
        </w:tc>
        <w:tc>
          <w:tcPr>
            <w:tcW w:w="1180" w:type="dxa"/>
            <w:tcBorders>
              <w:top w:val="single" w:sz="4" w:space="0" w:color="95B3D7"/>
              <w:left w:val="nil"/>
              <w:bottom w:val="single" w:sz="4" w:space="0" w:color="95B3D7"/>
              <w:right w:val="single" w:sz="4" w:space="0" w:color="95B3D7"/>
            </w:tcBorders>
            <w:shd w:val="clear" w:color="auto" w:fill="auto"/>
            <w:noWrap/>
            <w:vAlign w:val="bottom"/>
            <w:hideMark/>
          </w:tcPr>
          <w:p w:rsidR="00863408" w:rsidRPr="00DB3E48" w:rsidRDefault="00863408" w:rsidP="00E84F72">
            <w:pPr>
              <w:jc w:val="center"/>
              <w:rPr>
                <w:color w:val="000000"/>
                <w:sz w:val="22"/>
                <w:szCs w:val="22"/>
              </w:rPr>
            </w:pPr>
            <w:r w:rsidRPr="00DB3E48">
              <w:rPr>
                <w:color w:val="000000"/>
                <w:sz w:val="22"/>
                <w:szCs w:val="22"/>
              </w:rPr>
              <w:t>36,5%</w:t>
            </w:r>
          </w:p>
        </w:tc>
      </w:tr>
      <w:tr w:rsidR="00863408" w:rsidRPr="00DB3E48" w:rsidTr="002B67F9">
        <w:trPr>
          <w:trHeight w:val="300"/>
        </w:trPr>
        <w:tc>
          <w:tcPr>
            <w:tcW w:w="1433" w:type="dxa"/>
            <w:tcBorders>
              <w:top w:val="single" w:sz="4" w:space="0" w:color="95B3D7"/>
              <w:left w:val="single" w:sz="4" w:space="0" w:color="95B3D7"/>
              <w:bottom w:val="single" w:sz="4" w:space="0" w:color="95B3D7"/>
              <w:right w:val="nil"/>
            </w:tcBorders>
            <w:shd w:val="clear" w:color="DCE6F1" w:fill="DCE6F1"/>
            <w:noWrap/>
            <w:vAlign w:val="bottom"/>
            <w:hideMark/>
          </w:tcPr>
          <w:p w:rsidR="00863408" w:rsidRPr="00DB3E48" w:rsidRDefault="00863408" w:rsidP="00E84F72">
            <w:pPr>
              <w:jc w:val="center"/>
              <w:rPr>
                <w:color w:val="000000"/>
                <w:sz w:val="22"/>
                <w:szCs w:val="22"/>
              </w:rPr>
            </w:pPr>
            <w:r w:rsidRPr="00DB3E48">
              <w:rPr>
                <w:color w:val="000000"/>
                <w:sz w:val="22"/>
                <w:szCs w:val="22"/>
              </w:rPr>
              <w:t>2019</w:t>
            </w:r>
          </w:p>
        </w:tc>
        <w:tc>
          <w:tcPr>
            <w:tcW w:w="1267" w:type="dxa"/>
            <w:tcBorders>
              <w:top w:val="single" w:sz="4" w:space="0" w:color="95B3D7"/>
              <w:left w:val="nil"/>
              <w:bottom w:val="single" w:sz="4" w:space="0" w:color="95B3D7"/>
              <w:right w:val="nil"/>
            </w:tcBorders>
            <w:shd w:val="clear" w:color="DCE6F1" w:fill="DCE6F1"/>
            <w:noWrap/>
            <w:vAlign w:val="bottom"/>
            <w:hideMark/>
          </w:tcPr>
          <w:p w:rsidR="00863408" w:rsidRPr="00DB3E48" w:rsidRDefault="00863408" w:rsidP="00E84F72">
            <w:pPr>
              <w:jc w:val="center"/>
              <w:rPr>
                <w:color w:val="000000"/>
                <w:sz w:val="22"/>
                <w:szCs w:val="22"/>
              </w:rPr>
            </w:pPr>
            <w:r w:rsidRPr="00DB3E48">
              <w:rPr>
                <w:color w:val="000000"/>
                <w:sz w:val="22"/>
                <w:szCs w:val="22"/>
              </w:rPr>
              <w:t>178</w:t>
            </w:r>
          </w:p>
        </w:tc>
        <w:tc>
          <w:tcPr>
            <w:tcW w:w="1160" w:type="dxa"/>
            <w:tcBorders>
              <w:top w:val="single" w:sz="4" w:space="0" w:color="95B3D7"/>
              <w:left w:val="nil"/>
              <w:bottom w:val="single" w:sz="4" w:space="0" w:color="95B3D7"/>
              <w:right w:val="nil"/>
            </w:tcBorders>
            <w:shd w:val="clear" w:color="DCE6F1" w:fill="DCE6F1"/>
            <w:noWrap/>
            <w:vAlign w:val="bottom"/>
            <w:hideMark/>
          </w:tcPr>
          <w:p w:rsidR="00863408" w:rsidRPr="00DB3E48" w:rsidRDefault="00863408" w:rsidP="00E84F72">
            <w:pPr>
              <w:jc w:val="center"/>
              <w:rPr>
                <w:color w:val="000000"/>
                <w:sz w:val="22"/>
                <w:szCs w:val="22"/>
              </w:rPr>
            </w:pPr>
            <w:r w:rsidRPr="00DB3E48">
              <w:rPr>
                <w:color w:val="000000"/>
                <w:sz w:val="22"/>
                <w:szCs w:val="22"/>
              </w:rPr>
              <w:t>26,3%</w:t>
            </w:r>
          </w:p>
        </w:tc>
        <w:tc>
          <w:tcPr>
            <w:tcW w:w="1400" w:type="dxa"/>
            <w:tcBorders>
              <w:top w:val="single" w:sz="4" w:space="0" w:color="95B3D7"/>
              <w:left w:val="nil"/>
              <w:bottom w:val="single" w:sz="4" w:space="0" w:color="95B3D7"/>
              <w:right w:val="nil"/>
            </w:tcBorders>
            <w:shd w:val="clear" w:color="DCE6F1" w:fill="DCE6F1"/>
            <w:noWrap/>
            <w:vAlign w:val="bottom"/>
            <w:hideMark/>
          </w:tcPr>
          <w:p w:rsidR="00863408" w:rsidRPr="00DB3E48" w:rsidRDefault="00863408" w:rsidP="00E84F72">
            <w:pPr>
              <w:jc w:val="center"/>
              <w:rPr>
                <w:color w:val="000000"/>
                <w:sz w:val="22"/>
                <w:szCs w:val="22"/>
              </w:rPr>
            </w:pPr>
            <w:r w:rsidRPr="00DB3E48">
              <w:rPr>
                <w:color w:val="000000"/>
                <w:sz w:val="22"/>
                <w:szCs w:val="22"/>
              </w:rPr>
              <w:t>2022</w:t>
            </w:r>
          </w:p>
        </w:tc>
        <w:tc>
          <w:tcPr>
            <w:tcW w:w="1300" w:type="dxa"/>
            <w:tcBorders>
              <w:top w:val="single" w:sz="4" w:space="0" w:color="95B3D7"/>
              <w:left w:val="nil"/>
              <w:bottom w:val="single" w:sz="4" w:space="0" w:color="95B3D7"/>
              <w:right w:val="nil"/>
            </w:tcBorders>
            <w:shd w:val="clear" w:color="DCE6F1" w:fill="DCE6F1"/>
            <w:noWrap/>
            <w:vAlign w:val="bottom"/>
            <w:hideMark/>
          </w:tcPr>
          <w:p w:rsidR="00863408" w:rsidRPr="00DB3E48" w:rsidRDefault="00863408" w:rsidP="00E84F72">
            <w:pPr>
              <w:jc w:val="center"/>
              <w:rPr>
                <w:color w:val="000000"/>
                <w:sz w:val="22"/>
                <w:szCs w:val="22"/>
              </w:rPr>
            </w:pPr>
            <w:r w:rsidRPr="00DB3E48">
              <w:rPr>
                <w:color w:val="000000"/>
                <w:sz w:val="22"/>
                <w:szCs w:val="22"/>
              </w:rPr>
              <w:t>159</w:t>
            </w:r>
          </w:p>
        </w:tc>
        <w:tc>
          <w:tcPr>
            <w:tcW w:w="1180" w:type="dxa"/>
            <w:tcBorders>
              <w:top w:val="single" w:sz="4" w:space="0" w:color="95B3D7"/>
              <w:left w:val="nil"/>
              <w:bottom w:val="single" w:sz="4" w:space="0" w:color="95B3D7"/>
              <w:right w:val="single" w:sz="4" w:space="0" w:color="95B3D7"/>
            </w:tcBorders>
            <w:shd w:val="clear" w:color="DCE6F1" w:fill="DCE6F1"/>
            <w:noWrap/>
            <w:vAlign w:val="bottom"/>
            <w:hideMark/>
          </w:tcPr>
          <w:p w:rsidR="00863408" w:rsidRPr="00DB3E48" w:rsidRDefault="00863408" w:rsidP="00E84F72">
            <w:pPr>
              <w:jc w:val="center"/>
              <w:rPr>
                <w:color w:val="000000"/>
                <w:sz w:val="22"/>
                <w:szCs w:val="22"/>
              </w:rPr>
            </w:pPr>
            <w:r w:rsidRPr="00DB3E48">
              <w:rPr>
                <w:color w:val="000000"/>
                <w:sz w:val="22"/>
                <w:szCs w:val="22"/>
              </w:rPr>
              <w:t>33,9%</w:t>
            </w:r>
          </w:p>
        </w:tc>
      </w:tr>
      <w:tr w:rsidR="00863408" w:rsidRPr="00DB3E48" w:rsidTr="002B67F9">
        <w:trPr>
          <w:trHeight w:val="300"/>
        </w:trPr>
        <w:tc>
          <w:tcPr>
            <w:tcW w:w="1433" w:type="dxa"/>
            <w:tcBorders>
              <w:top w:val="single" w:sz="4" w:space="0" w:color="95B3D7"/>
              <w:left w:val="single" w:sz="4" w:space="0" w:color="95B3D7"/>
              <w:bottom w:val="single" w:sz="4" w:space="0" w:color="auto"/>
              <w:right w:val="nil"/>
            </w:tcBorders>
            <w:shd w:val="clear" w:color="auto" w:fill="auto"/>
            <w:noWrap/>
            <w:vAlign w:val="bottom"/>
            <w:hideMark/>
          </w:tcPr>
          <w:p w:rsidR="00863408" w:rsidRPr="00DB3E48" w:rsidRDefault="00E84F72" w:rsidP="00E84F72">
            <w:pPr>
              <w:jc w:val="center"/>
              <w:rPr>
                <w:color w:val="000000"/>
                <w:sz w:val="22"/>
                <w:szCs w:val="22"/>
              </w:rPr>
            </w:pPr>
            <w:r w:rsidRPr="00DB3E48">
              <w:rPr>
                <w:color w:val="000000"/>
                <w:sz w:val="22"/>
                <w:szCs w:val="22"/>
              </w:rPr>
              <w:t>Total</w:t>
            </w:r>
          </w:p>
        </w:tc>
        <w:tc>
          <w:tcPr>
            <w:tcW w:w="1267" w:type="dxa"/>
            <w:tcBorders>
              <w:top w:val="single" w:sz="4" w:space="0" w:color="95B3D7"/>
              <w:left w:val="nil"/>
              <w:bottom w:val="single" w:sz="4" w:space="0" w:color="auto"/>
              <w:right w:val="nil"/>
            </w:tcBorders>
            <w:shd w:val="clear" w:color="auto" w:fill="auto"/>
            <w:noWrap/>
            <w:vAlign w:val="bottom"/>
            <w:hideMark/>
          </w:tcPr>
          <w:p w:rsidR="00863408" w:rsidRPr="00DB3E48" w:rsidRDefault="00863408" w:rsidP="00E84F72">
            <w:pPr>
              <w:jc w:val="center"/>
              <w:rPr>
                <w:color w:val="000000"/>
                <w:sz w:val="22"/>
                <w:szCs w:val="22"/>
              </w:rPr>
            </w:pPr>
            <w:r w:rsidRPr="00DB3E48">
              <w:rPr>
                <w:color w:val="000000"/>
                <w:sz w:val="22"/>
                <w:szCs w:val="22"/>
              </w:rPr>
              <w:t>676</w:t>
            </w:r>
          </w:p>
        </w:tc>
        <w:tc>
          <w:tcPr>
            <w:tcW w:w="1160" w:type="dxa"/>
            <w:tcBorders>
              <w:top w:val="single" w:sz="4" w:space="0" w:color="95B3D7"/>
              <w:left w:val="nil"/>
              <w:bottom w:val="single" w:sz="4" w:space="0" w:color="auto"/>
              <w:right w:val="nil"/>
            </w:tcBorders>
            <w:shd w:val="clear" w:color="auto" w:fill="auto"/>
            <w:noWrap/>
            <w:vAlign w:val="bottom"/>
            <w:hideMark/>
          </w:tcPr>
          <w:p w:rsidR="00863408" w:rsidRPr="00DB3E48" w:rsidRDefault="00863408" w:rsidP="00E84F72">
            <w:pPr>
              <w:jc w:val="center"/>
              <w:rPr>
                <w:color w:val="000000"/>
                <w:sz w:val="22"/>
                <w:szCs w:val="22"/>
              </w:rPr>
            </w:pPr>
            <w:r w:rsidRPr="00DB3E48">
              <w:rPr>
                <w:color w:val="000000"/>
                <w:sz w:val="22"/>
                <w:szCs w:val="22"/>
              </w:rPr>
              <w:t>100%</w:t>
            </w:r>
          </w:p>
        </w:tc>
        <w:tc>
          <w:tcPr>
            <w:tcW w:w="1400" w:type="dxa"/>
            <w:tcBorders>
              <w:top w:val="single" w:sz="4" w:space="0" w:color="95B3D7"/>
              <w:left w:val="nil"/>
              <w:bottom w:val="single" w:sz="4" w:space="0" w:color="auto"/>
              <w:right w:val="nil"/>
            </w:tcBorders>
            <w:shd w:val="clear" w:color="auto" w:fill="auto"/>
            <w:noWrap/>
            <w:vAlign w:val="bottom"/>
            <w:hideMark/>
          </w:tcPr>
          <w:p w:rsidR="00863408" w:rsidRPr="00DB3E48" w:rsidRDefault="00E84F72" w:rsidP="00E84F72">
            <w:pPr>
              <w:jc w:val="center"/>
              <w:rPr>
                <w:color w:val="000000"/>
                <w:sz w:val="22"/>
                <w:szCs w:val="22"/>
              </w:rPr>
            </w:pPr>
            <w:r w:rsidRPr="00DB3E48">
              <w:rPr>
                <w:color w:val="000000"/>
                <w:sz w:val="22"/>
                <w:szCs w:val="22"/>
              </w:rPr>
              <w:t>Total</w:t>
            </w:r>
          </w:p>
        </w:tc>
        <w:tc>
          <w:tcPr>
            <w:tcW w:w="1300" w:type="dxa"/>
            <w:tcBorders>
              <w:top w:val="single" w:sz="4" w:space="0" w:color="95B3D7"/>
              <w:left w:val="nil"/>
              <w:bottom w:val="single" w:sz="4" w:space="0" w:color="auto"/>
              <w:right w:val="nil"/>
            </w:tcBorders>
            <w:shd w:val="clear" w:color="auto" w:fill="auto"/>
            <w:noWrap/>
            <w:vAlign w:val="bottom"/>
            <w:hideMark/>
          </w:tcPr>
          <w:p w:rsidR="00863408" w:rsidRPr="00DB3E48" w:rsidRDefault="00863408" w:rsidP="00E84F72">
            <w:pPr>
              <w:jc w:val="center"/>
              <w:rPr>
                <w:color w:val="000000"/>
                <w:sz w:val="22"/>
                <w:szCs w:val="22"/>
              </w:rPr>
            </w:pPr>
            <w:r w:rsidRPr="00DB3E48">
              <w:rPr>
                <w:color w:val="000000"/>
                <w:sz w:val="22"/>
                <w:szCs w:val="22"/>
              </w:rPr>
              <w:t>469</w:t>
            </w:r>
          </w:p>
        </w:tc>
        <w:tc>
          <w:tcPr>
            <w:tcW w:w="1180" w:type="dxa"/>
            <w:tcBorders>
              <w:top w:val="single" w:sz="4" w:space="0" w:color="95B3D7"/>
              <w:left w:val="nil"/>
              <w:bottom w:val="single" w:sz="4" w:space="0" w:color="auto"/>
              <w:right w:val="single" w:sz="4" w:space="0" w:color="95B3D7"/>
            </w:tcBorders>
            <w:shd w:val="clear" w:color="auto" w:fill="auto"/>
            <w:noWrap/>
            <w:vAlign w:val="bottom"/>
            <w:hideMark/>
          </w:tcPr>
          <w:p w:rsidR="00863408" w:rsidRPr="00DB3E48" w:rsidRDefault="00863408" w:rsidP="00E84F72">
            <w:pPr>
              <w:jc w:val="center"/>
              <w:rPr>
                <w:color w:val="000000"/>
                <w:sz w:val="22"/>
                <w:szCs w:val="22"/>
              </w:rPr>
            </w:pPr>
            <w:r w:rsidRPr="00DB3E48">
              <w:rPr>
                <w:color w:val="000000"/>
                <w:sz w:val="22"/>
                <w:szCs w:val="22"/>
              </w:rPr>
              <w:t>100%</w:t>
            </w:r>
          </w:p>
        </w:tc>
      </w:tr>
    </w:tbl>
    <w:p w:rsidR="00863408" w:rsidRPr="00DB3E48" w:rsidRDefault="00863408" w:rsidP="00863408">
      <w:pPr>
        <w:spacing w:after="200" w:line="360" w:lineRule="auto"/>
        <w:jc w:val="both"/>
        <w:rPr>
          <w:rFonts w:eastAsia="Calibri"/>
          <w:sz w:val="24"/>
          <w:szCs w:val="24"/>
          <w:lang w:eastAsia="en-US"/>
        </w:rPr>
      </w:pPr>
    </w:p>
    <w:p w:rsidR="00863408" w:rsidRPr="00DB3E48" w:rsidRDefault="00863408" w:rsidP="00863408">
      <w:pPr>
        <w:spacing w:after="200" w:line="360" w:lineRule="auto"/>
        <w:ind w:firstLine="708"/>
        <w:jc w:val="both"/>
        <w:rPr>
          <w:rFonts w:eastAsia="Calibri"/>
          <w:sz w:val="24"/>
          <w:szCs w:val="24"/>
          <w:lang w:eastAsia="en-US"/>
        </w:rPr>
      </w:pPr>
      <w:r w:rsidRPr="00DB3E48">
        <w:rPr>
          <w:rFonts w:eastAsia="Calibri"/>
          <w:sz w:val="24"/>
          <w:szCs w:val="24"/>
          <w:lang w:eastAsia="en-US"/>
        </w:rPr>
        <w:t>Houve um declínio progressivo no primeiro triênio que se manteve em considerada diminuição das ocorrências de trânsito até o ano de 2021 que apresentou um leve aumento de 9,4% nas ocorrências em relação ao ano anterior. Entr</w:t>
      </w:r>
      <w:r w:rsidR="007B17A5">
        <w:rPr>
          <w:rFonts w:eastAsia="Calibri"/>
          <w:sz w:val="24"/>
          <w:szCs w:val="24"/>
          <w:lang w:eastAsia="en-US"/>
        </w:rPr>
        <w:t>etanto vale ressaltar que foi em dezembro do  ano de 2017</w:t>
      </w:r>
      <w:r w:rsidRPr="00DB3E48">
        <w:rPr>
          <w:rFonts w:eastAsia="Calibri"/>
          <w:sz w:val="24"/>
          <w:szCs w:val="24"/>
          <w:lang w:eastAsia="en-US"/>
        </w:rPr>
        <w:t xml:space="preserve"> que o trecho da rodovia 376 entre Paranavaí e Maringá foi </w:t>
      </w:r>
      <w:r w:rsidR="007B17A5">
        <w:rPr>
          <w:rFonts w:eastAsia="Calibri"/>
          <w:sz w:val="24"/>
          <w:szCs w:val="24"/>
          <w:lang w:eastAsia="en-US"/>
        </w:rPr>
        <w:t>finalizado a duplicação</w:t>
      </w:r>
      <w:r w:rsidRPr="00DB3E48">
        <w:rPr>
          <w:rFonts w:eastAsia="Calibri"/>
          <w:sz w:val="24"/>
          <w:szCs w:val="24"/>
          <w:lang w:eastAsia="en-US"/>
        </w:rPr>
        <w:t>. Podendo observa na tabela</w:t>
      </w:r>
      <w:r w:rsidR="002B67F9">
        <w:rPr>
          <w:rFonts w:eastAsia="Calibri"/>
          <w:sz w:val="24"/>
          <w:szCs w:val="24"/>
          <w:lang w:eastAsia="en-US"/>
        </w:rPr>
        <w:t xml:space="preserve"> 1</w:t>
      </w:r>
      <w:r w:rsidRPr="00DB3E48">
        <w:rPr>
          <w:rFonts w:eastAsia="Calibri"/>
          <w:sz w:val="24"/>
          <w:szCs w:val="24"/>
          <w:lang w:eastAsia="en-US"/>
        </w:rPr>
        <w:t xml:space="preserve"> a queda acentuada dos acidentes após a duplicação</w:t>
      </w:r>
      <w:r w:rsidR="00E84F72">
        <w:rPr>
          <w:rFonts w:eastAsia="Calibri"/>
          <w:sz w:val="24"/>
          <w:szCs w:val="24"/>
          <w:lang w:eastAsia="en-US"/>
        </w:rPr>
        <w:t xml:space="preserve"> (</w:t>
      </w:r>
      <w:r w:rsidR="007B17A5">
        <w:rPr>
          <w:rFonts w:eastAsia="Calibri"/>
          <w:sz w:val="24"/>
          <w:szCs w:val="24"/>
          <w:lang w:eastAsia="en-US"/>
        </w:rPr>
        <w:t>Agencia Estadual de Noticias, 2017</w:t>
      </w:r>
      <w:r w:rsidR="00E84F72">
        <w:rPr>
          <w:rFonts w:eastAsia="Calibri"/>
          <w:sz w:val="24"/>
          <w:szCs w:val="24"/>
          <w:lang w:eastAsia="en-US"/>
        </w:rPr>
        <w:t>)</w:t>
      </w:r>
      <w:r w:rsidRPr="00DB3E48">
        <w:rPr>
          <w:rFonts w:eastAsia="Calibri"/>
          <w:sz w:val="24"/>
          <w:szCs w:val="24"/>
          <w:lang w:eastAsia="en-US"/>
        </w:rPr>
        <w:t>.</w:t>
      </w:r>
    </w:p>
    <w:p w:rsidR="00863408" w:rsidRPr="00DB3E48" w:rsidRDefault="00863408" w:rsidP="00863408">
      <w:pPr>
        <w:spacing w:after="200" w:line="360" w:lineRule="auto"/>
        <w:jc w:val="both"/>
        <w:rPr>
          <w:rFonts w:eastAsia="Calibri"/>
          <w:sz w:val="24"/>
          <w:szCs w:val="24"/>
          <w:lang w:eastAsia="en-US"/>
        </w:rPr>
      </w:pPr>
      <w:r w:rsidRPr="00DB3E48">
        <w:rPr>
          <w:rFonts w:eastAsia="Calibri"/>
          <w:sz w:val="24"/>
          <w:szCs w:val="24"/>
          <w:lang w:eastAsia="en-US"/>
        </w:rPr>
        <w:lastRenderedPageBreak/>
        <w:t xml:space="preserve">Tabela </w:t>
      </w:r>
      <w:r w:rsidR="002B67F9">
        <w:rPr>
          <w:rFonts w:eastAsia="Calibri"/>
          <w:sz w:val="24"/>
          <w:szCs w:val="24"/>
          <w:lang w:eastAsia="en-US"/>
        </w:rPr>
        <w:t>2</w:t>
      </w:r>
      <w:r w:rsidRPr="00DB3E48">
        <w:rPr>
          <w:rFonts w:eastAsia="Calibri"/>
          <w:sz w:val="24"/>
          <w:szCs w:val="24"/>
          <w:lang w:eastAsia="en-US"/>
        </w:rPr>
        <w:t>: Características ambientais d</w:t>
      </w:r>
      <w:r w:rsidR="00D20382">
        <w:rPr>
          <w:rFonts w:eastAsia="Calibri"/>
          <w:sz w:val="24"/>
          <w:szCs w:val="24"/>
          <w:lang w:eastAsia="en-US"/>
        </w:rPr>
        <w:t>as ocorrências de</w:t>
      </w:r>
      <w:r w:rsidRPr="00DB3E48">
        <w:rPr>
          <w:rFonts w:eastAsia="Calibri"/>
          <w:sz w:val="24"/>
          <w:szCs w:val="24"/>
          <w:lang w:eastAsia="en-US"/>
        </w:rPr>
        <w:t xml:space="preserve"> acidentes de trânsito nas rodovias federais da 14° Regional de Saúde, série histórica de 2017 a 2022, comparação do período pré pandemia  com a </w:t>
      </w:r>
      <w:r w:rsidR="00AA78F3" w:rsidRPr="00DB3E48">
        <w:rPr>
          <w:rFonts w:eastAsia="Calibri"/>
          <w:sz w:val="24"/>
          <w:szCs w:val="24"/>
          <w:lang w:eastAsia="en-US"/>
        </w:rPr>
        <w:t>pandemia</w:t>
      </w:r>
      <w:r w:rsidRPr="00DB3E48">
        <w:rPr>
          <w:rFonts w:eastAsia="Calibri"/>
          <w:sz w:val="24"/>
          <w:szCs w:val="24"/>
          <w:lang w:eastAsia="en-US"/>
        </w:rPr>
        <w:t>.</w:t>
      </w:r>
    </w:p>
    <w:tbl>
      <w:tblPr>
        <w:tblW w:w="5000" w:type="pct"/>
        <w:tblCellMar>
          <w:left w:w="70" w:type="dxa"/>
          <w:right w:w="70" w:type="dxa"/>
        </w:tblCellMar>
        <w:tblLook w:val="04A0" w:firstRow="1" w:lastRow="0" w:firstColumn="1" w:lastColumn="0" w:noHBand="0" w:noVBand="1"/>
      </w:tblPr>
      <w:tblGrid>
        <w:gridCol w:w="2419"/>
        <w:gridCol w:w="1185"/>
        <w:gridCol w:w="1186"/>
        <w:gridCol w:w="2053"/>
        <w:gridCol w:w="1186"/>
        <w:gridCol w:w="1182"/>
      </w:tblGrid>
      <w:tr w:rsidR="00863408" w:rsidRPr="0050036F" w:rsidTr="00E84F72">
        <w:trPr>
          <w:trHeight w:val="300"/>
        </w:trPr>
        <w:tc>
          <w:tcPr>
            <w:tcW w:w="1019" w:type="pct"/>
            <w:tcBorders>
              <w:top w:val="single" w:sz="4" w:space="0" w:color="auto"/>
              <w:left w:val="nil"/>
              <w:bottom w:val="single" w:sz="4" w:space="0" w:color="auto"/>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 xml:space="preserve">Variáveis pré pandemia </w:t>
            </w:r>
          </w:p>
        </w:tc>
        <w:tc>
          <w:tcPr>
            <w:tcW w:w="741" w:type="pct"/>
            <w:tcBorders>
              <w:top w:val="single" w:sz="4" w:space="0" w:color="auto"/>
              <w:left w:val="nil"/>
              <w:bottom w:val="single" w:sz="4" w:space="0" w:color="auto"/>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N</w:t>
            </w:r>
          </w:p>
        </w:tc>
        <w:tc>
          <w:tcPr>
            <w:tcW w:w="741" w:type="pct"/>
            <w:tcBorders>
              <w:top w:val="single" w:sz="4" w:space="0" w:color="auto"/>
              <w:left w:val="nil"/>
              <w:bottom w:val="single" w:sz="4" w:space="0" w:color="auto"/>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w:t>
            </w:r>
          </w:p>
        </w:tc>
        <w:tc>
          <w:tcPr>
            <w:tcW w:w="1019" w:type="pct"/>
            <w:tcBorders>
              <w:top w:val="single" w:sz="4" w:space="0" w:color="auto"/>
              <w:left w:val="nil"/>
              <w:bottom w:val="single" w:sz="4" w:space="0" w:color="auto"/>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Variáveis pandemia</w:t>
            </w:r>
          </w:p>
        </w:tc>
        <w:tc>
          <w:tcPr>
            <w:tcW w:w="741" w:type="pct"/>
            <w:tcBorders>
              <w:top w:val="single" w:sz="4" w:space="0" w:color="auto"/>
              <w:left w:val="nil"/>
              <w:bottom w:val="single" w:sz="4" w:space="0" w:color="auto"/>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N</w:t>
            </w:r>
          </w:p>
        </w:tc>
        <w:tc>
          <w:tcPr>
            <w:tcW w:w="741" w:type="pct"/>
            <w:tcBorders>
              <w:top w:val="single" w:sz="4" w:space="0" w:color="auto"/>
              <w:left w:val="nil"/>
              <w:bottom w:val="single" w:sz="4" w:space="0" w:color="auto"/>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w:t>
            </w:r>
          </w:p>
        </w:tc>
      </w:tr>
      <w:tr w:rsidR="00863408" w:rsidRPr="0050036F" w:rsidTr="00E84F72">
        <w:trPr>
          <w:trHeight w:val="300"/>
        </w:trPr>
        <w:tc>
          <w:tcPr>
            <w:tcW w:w="1759" w:type="pct"/>
            <w:gridSpan w:val="2"/>
            <w:tcBorders>
              <w:top w:val="nil"/>
              <w:left w:val="nil"/>
              <w:bottom w:val="nil"/>
              <w:right w:val="nil"/>
            </w:tcBorders>
            <w:shd w:val="clear" w:color="auto" w:fill="auto"/>
            <w:noWrap/>
            <w:vAlign w:val="bottom"/>
            <w:hideMark/>
          </w:tcPr>
          <w:p w:rsidR="00863408" w:rsidRPr="0050036F" w:rsidRDefault="00863408" w:rsidP="0050036F">
            <w:pPr>
              <w:spacing w:line="360" w:lineRule="auto"/>
              <w:rPr>
                <w:b/>
                <w:bCs/>
                <w:color w:val="000000"/>
                <w:sz w:val="24"/>
                <w:szCs w:val="24"/>
              </w:rPr>
            </w:pPr>
            <w:r w:rsidRPr="0050036F">
              <w:rPr>
                <w:b/>
                <w:bCs/>
                <w:color w:val="000000"/>
                <w:sz w:val="24"/>
                <w:szCs w:val="24"/>
              </w:rPr>
              <w:t>Dia da semana</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p>
        </w:tc>
        <w:tc>
          <w:tcPr>
            <w:tcW w:w="1759" w:type="pct"/>
            <w:gridSpan w:val="2"/>
            <w:tcBorders>
              <w:top w:val="nil"/>
              <w:left w:val="nil"/>
              <w:bottom w:val="nil"/>
              <w:right w:val="nil"/>
            </w:tcBorders>
            <w:shd w:val="clear" w:color="auto" w:fill="auto"/>
            <w:noWrap/>
            <w:vAlign w:val="bottom"/>
            <w:hideMark/>
          </w:tcPr>
          <w:p w:rsidR="00863408" w:rsidRPr="0050036F" w:rsidRDefault="00863408" w:rsidP="0050036F">
            <w:pPr>
              <w:spacing w:line="360" w:lineRule="auto"/>
              <w:rPr>
                <w:b/>
                <w:bCs/>
                <w:color w:val="000000"/>
                <w:sz w:val="24"/>
                <w:szCs w:val="24"/>
              </w:rPr>
            </w:pPr>
            <w:r w:rsidRPr="0050036F">
              <w:rPr>
                <w:b/>
                <w:bCs/>
                <w:color w:val="000000"/>
                <w:sz w:val="24"/>
                <w:szCs w:val="24"/>
              </w:rPr>
              <w:t>Dia da Semana</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p>
        </w:tc>
      </w:tr>
      <w:tr w:rsidR="00863408" w:rsidRPr="0050036F" w:rsidTr="00E84F72">
        <w:trPr>
          <w:trHeight w:val="300"/>
        </w:trPr>
        <w:tc>
          <w:tcPr>
            <w:tcW w:w="1019"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Segunda</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82</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12,1%</w:t>
            </w:r>
          </w:p>
        </w:tc>
        <w:tc>
          <w:tcPr>
            <w:tcW w:w="1019"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Segunda</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59</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12,6%</w:t>
            </w:r>
          </w:p>
        </w:tc>
      </w:tr>
      <w:tr w:rsidR="00863408" w:rsidRPr="0050036F" w:rsidTr="00E84F72">
        <w:trPr>
          <w:trHeight w:val="300"/>
        </w:trPr>
        <w:tc>
          <w:tcPr>
            <w:tcW w:w="1019"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Terça</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104</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15,4%</w:t>
            </w:r>
          </w:p>
        </w:tc>
        <w:tc>
          <w:tcPr>
            <w:tcW w:w="1019"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Terça</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62</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13,2%</w:t>
            </w:r>
          </w:p>
        </w:tc>
      </w:tr>
      <w:tr w:rsidR="00863408" w:rsidRPr="0050036F" w:rsidTr="00E84F72">
        <w:trPr>
          <w:trHeight w:val="300"/>
        </w:trPr>
        <w:tc>
          <w:tcPr>
            <w:tcW w:w="1019"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Quarta</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61</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9,0%</w:t>
            </w:r>
          </w:p>
        </w:tc>
        <w:tc>
          <w:tcPr>
            <w:tcW w:w="1019"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Quarta</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47</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10,0%</w:t>
            </w:r>
          </w:p>
        </w:tc>
      </w:tr>
      <w:tr w:rsidR="00863408" w:rsidRPr="0050036F" w:rsidTr="00E84F72">
        <w:trPr>
          <w:trHeight w:val="300"/>
        </w:trPr>
        <w:tc>
          <w:tcPr>
            <w:tcW w:w="1019"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Quinta</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80</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11,8%</w:t>
            </w:r>
          </w:p>
        </w:tc>
        <w:tc>
          <w:tcPr>
            <w:tcW w:w="1019"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Quinta</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42</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9,0%</w:t>
            </w:r>
          </w:p>
        </w:tc>
      </w:tr>
      <w:tr w:rsidR="00863408" w:rsidRPr="0050036F" w:rsidTr="00E84F72">
        <w:trPr>
          <w:trHeight w:val="300"/>
        </w:trPr>
        <w:tc>
          <w:tcPr>
            <w:tcW w:w="1019"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Sexta</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108</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16,0%</w:t>
            </w:r>
          </w:p>
        </w:tc>
        <w:tc>
          <w:tcPr>
            <w:tcW w:w="1019"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Sexta</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90</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19,2%</w:t>
            </w:r>
          </w:p>
        </w:tc>
      </w:tr>
      <w:tr w:rsidR="00863408" w:rsidRPr="0050036F" w:rsidTr="00E84F72">
        <w:trPr>
          <w:trHeight w:val="300"/>
        </w:trPr>
        <w:tc>
          <w:tcPr>
            <w:tcW w:w="1019"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Sábado</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124</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18,3%</w:t>
            </w:r>
          </w:p>
        </w:tc>
        <w:tc>
          <w:tcPr>
            <w:tcW w:w="1019"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Sábado</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85</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18,1%</w:t>
            </w:r>
          </w:p>
        </w:tc>
      </w:tr>
      <w:tr w:rsidR="00863408" w:rsidRPr="0050036F" w:rsidTr="00E84F72">
        <w:trPr>
          <w:trHeight w:val="300"/>
        </w:trPr>
        <w:tc>
          <w:tcPr>
            <w:tcW w:w="1019"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Domingo</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117</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17,3%</w:t>
            </w:r>
          </w:p>
        </w:tc>
        <w:tc>
          <w:tcPr>
            <w:tcW w:w="1019"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Domingo</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84</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17,9%</w:t>
            </w:r>
          </w:p>
        </w:tc>
      </w:tr>
      <w:tr w:rsidR="00863408" w:rsidRPr="0050036F" w:rsidTr="00E84F72">
        <w:trPr>
          <w:trHeight w:val="300"/>
        </w:trPr>
        <w:tc>
          <w:tcPr>
            <w:tcW w:w="1019" w:type="pct"/>
            <w:tcBorders>
              <w:top w:val="nil"/>
              <w:left w:val="nil"/>
              <w:bottom w:val="nil"/>
              <w:right w:val="nil"/>
            </w:tcBorders>
            <w:shd w:val="clear" w:color="auto" w:fill="auto"/>
            <w:noWrap/>
            <w:vAlign w:val="bottom"/>
            <w:hideMark/>
          </w:tcPr>
          <w:p w:rsidR="00863408" w:rsidRPr="0050036F" w:rsidRDefault="00E84F72" w:rsidP="0050036F">
            <w:pPr>
              <w:spacing w:line="360" w:lineRule="auto"/>
              <w:rPr>
                <w:color w:val="000000"/>
                <w:sz w:val="24"/>
                <w:szCs w:val="24"/>
              </w:rPr>
            </w:pPr>
            <w:r w:rsidRPr="0050036F">
              <w:rPr>
                <w:color w:val="000000"/>
                <w:sz w:val="24"/>
                <w:szCs w:val="24"/>
              </w:rPr>
              <w:t>Total</w:t>
            </w:r>
            <w:r w:rsidR="00863408" w:rsidRPr="0050036F">
              <w:rPr>
                <w:color w:val="000000"/>
                <w:sz w:val="24"/>
                <w:szCs w:val="24"/>
              </w:rPr>
              <w:t xml:space="preserve"> </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676</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100,0%</w:t>
            </w:r>
          </w:p>
        </w:tc>
        <w:tc>
          <w:tcPr>
            <w:tcW w:w="1019" w:type="pct"/>
            <w:tcBorders>
              <w:top w:val="nil"/>
              <w:left w:val="nil"/>
              <w:bottom w:val="nil"/>
              <w:right w:val="nil"/>
            </w:tcBorders>
            <w:shd w:val="clear" w:color="auto" w:fill="auto"/>
            <w:noWrap/>
            <w:vAlign w:val="bottom"/>
            <w:hideMark/>
          </w:tcPr>
          <w:p w:rsidR="00863408" w:rsidRPr="0050036F" w:rsidRDefault="00E84F72" w:rsidP="0050036F">
            <w:pPr>
              <w:spacing w:line="360" w:lineRule="auto"/>
              <w:rPr>
                <w:color w:val="000000"/>
                <w:sz w:val="24"/>
                <w:szCs w:val="24"/>
              </w:rPr>
            </w:pPr>
            <w:r w:rsidRPr="0050036F">
              <w:rPr>
                <w:color w:val="000000"/>
                <w:sz w:val="24"/>
                <w:szCs w:val="24"/>
              </w:rPr>
              <w:t>Total</w:t>
            </w:r>
            <w:r w:rsidR="00863408" w:rsidRPr="0050036F">
              <w:rPr>
                <w:color w:val="000000"/>
                <w:sz w:val="24"/>
                <w:szCs w:val="24"/>
              </w:rPr>
              <w:t xml:space="preserve"> </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469</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100,0%</w:t>
            </w:r>
          </w:p>
        </w:tc>
      </w:tr>
      <w:tr w:rsidR="00863408" w:rsidRPr="0050036F" w:rsidTr="00E84F72">
        <w:trPr>
          <w:trHeight w:val="300"/>
        </w:trPr>
        <w:tc>
          <w:tcPr>
            <w:tcW w:w="1759" w:type="pct"/>
            <w:gridSpan w:val="2"/>
            <w:tcBorders>
              <w:top w:val="nil"/>
              <w:left w:val="nil"/>
              <w:bottom w:val="nil"/>
              <w:right w:val="nil"/>
            </w:tcBorders>
            <w:shd w:val="clear" w:color="auto" w:fill="auto"/>
            <w:noWrap/>
            <w:vAlign w:val="bottom"/>
            <w:hideMark/>
          </w:tcPr>
          <w:p w:rsidR="00863408" w:rsidRPr="0050036F" w:rsidRDefault="00863408" w:rsidP="0050036F">
            <w:pPr>
              <w:spacing w:line="360" w:lineRule="auto"/>
              <w:rPr>
                <w:b/>
                <w:bCs/>
                <w:color w:val="000000"/>
                <w:sz w:val="24"/>
                <w:szCs w:val="24"/>
              </w:rPr>
            </w:pPr>
            <w:r w:rsidRPr="0050036F">
              <w:rPr>
                <w:b/>
                <w:bCs/>
                <w:color w:val="000000"/>
                <w:sz w:val="24"/>
                <w:szCs w:val="24"/>
              </w:rPr>
              <w:t>Período do dia</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p>
        </w:tc>
        <w:tc>
          <w:tcPr>
            <w:tcW w:w="1759" w:type="pct"/>
            <w:gridSpan w:val="2"/>
            <w:tcBorders>
              <w:top w:val="nil"/>
              <w:left w:val="nil"/>
              <w:bottom w:val="nil"/>
              <w:right w:val="nil"/>
            </w:tcBorders>
            <w:shd w:val="clear" w:color="auto" w:fill="auto"/>
            <w:noWrap/>
            <w:vAlign w:val="bottom"/>
            <w:hideMark/>
          </w:tcPr>
          <w:p w:rsidR="00863408" w:rsidRPr="0050036F" w:rsidRDefault="00863408" w:rsidP="0050036F">
            <w:pPr>
              <w:spacing w:line="360" w:lineRule="auto"/>
              <w:rPr>
                <w:b/>
                <w:bCs/>
                <w:color w:val="000000"/>
                <w:sz w:val="24"/>
                <w:szCs w:val="24"/>
              </w:rPr>
            </w:pPr>
            <w:r w:rsidRPr="0050036F">
              <w:rPr>
                <w:b/>
                <w:bCs/>
                <w:color w:val="000000"/>
                <w:sz w:val="24"/>
                <w:szCs w:val="24"/>
              </w:rPr>
              <w:t>Período do dia</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p>
        </w:tc>
      </w:tr>
      <w:tr w:rsidR="00863408" w:rsidRPr="0050036F" w:rsidTr="00E84F72">
        <w:trPr>
          <w:trHeight w:val="300"/>
        </w:trPr>
        <w:tc>
          <w:tcPr>
            <w:tcW w:w="1019"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Manhã</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146</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21,6%</w:t>
            </w:r>
          </w:p>
        </w:tc>
        <w:tc>
          <w:tcPr>
            <w:tcW w:w="1019"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Manhã</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126</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26,9%</w:t>
            </w:r>
          </w:p>
        </w:tc>
      </w:tr>
      <w:tr w:rsidR="00863408" w:rsidRPr="0050036F" w:rsidTr="00E84F72">
        <w:trPr>
          <w:trHeight w:val="300"/>
        </w:trPr>
        <w:tc>
          <w:tcPr>
            <w:tcW w:w="1019"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Tarde</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205</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30,3%</w:t>
            </w:r>
          </w:p>
        </w:tc>
        <w:tc>
          <w:tcPr>
            <w:tcW w:w="1019"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Tarde</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133</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28,4%</w:t>
            </w:r>
          </w:p>
        </w:tc>
      </w:tr>
      <w:tr w:rsidR="00863408" w:rsidRPr="0050036F" w:rsidTr="00E84F72">
        <w:trPr>
          <w:trHeight w:val="300"/>
        </w:trPr>
        <w:tc>
          <w:tcPr>
            <w:tcW w:w="1019"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Noite</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254</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37,6%</w:t>
            </w:r>
          </w:p>
        </w:tc>
        <w:tc>
          <w:tcPr>
            <w:tcW w:w="1019"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Noite</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153</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32,6%</w:t>
            </w:r>
          </w:p>
        </w:tc>
      </w:tr>
      <w:tr w:rsidR="00863408" w:rsidRPr="0050036F" w:rsidTr="00E84F72">
        <w:trPr>
          <w:trHeight w:val="300"/>
        </w:trPr>
        <w:tc>
          <w:tcPr>
            <w:tcW w:w="1019"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Madrugada</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71</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10,5%</w:t>
            </w:r>
          </w:p>
        </w:tc>
        <w:tc>
          <w:tcPr>
            <w:tcW w:w="1019"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Madrugada</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57</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12,2%</w:t>
            </w:r>
          </w:p>
        </w:tc>
      </w:tr>
      <w:tr w:rsidR="00863408" w:rsidRPr="0050036F" w:rsidTr="00E84F72">
        <w:trPr>
          <w:trHeight w:val="300"/>
        </w:trPr>
        <w:tc>
          <w:tcPr>
            <w:tcW w:w="1019" w:type="pct"/>
            <w:tcBorders>
              <w:top w:val="nil"/>
              <w:left w:val="nil"/>
              <w:bottom w:val="nil"/>
              <w:right w:val="nil"/>
            </w:tcBorders>
            <w:shd w:val="clear" w:color="auto" w:fill="auto"/>
            <w:noWrap/>
            <w:vAlign w:val="bottom"/>
            <w:hideMark/>
          </w:tcPr>
          <w:p w:rsidR="00863408" w:rsidRPr="0050036F" w:rsidRDefault="00F36E21" w:rsidP="0050036F">
            <w:pPr>
              <w:spacing w:line="360" w:lineRule="auto"/>
              <w:rPr>
                <w:color w:val="000000"/>
                <w:sz w:val="24"/>
                <w:szCs w:val="24"/>
              </w:rPr>
            </w:pPr>
            <w:r w:rsidRPr="0050036F">
              <w:rPr>
                <w:color w:val="000000"/>
                <w:sz w:val="24"/>
                <w:szCs w:val="24"/>
              </w:rPr>
              <w:t>T</w:t>
            </w:r>
            <w:r w:rsidR="00863408" w:rsidRPr="0050036F">
              <w:rPr>
                <w:color w:val="000000"/>
                <w:sz w:val="24"/>
                <w:szCs w:val="24"/>
              </w:rPr>
              <w:t xml:space="preserve">otal </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676</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100,0%</w:t>
            </w:r>
          </w:p>
        </w:tc>
        <w:tc>
          <w:tcPr>
            <w:tcW w:w="1019" w:type="pct"/>
            <w:tcBorders>
              <w:top w:val="nil"/>
              <w:left w:val="nil"/>
              <w:bottom w:val="nil"/>
              <w:right w:val="nil"/>
            </w:tcBorders>
            <w:shd w:val="clear" w:color="auto" w:fill="auto"/>
            <w:noWrap/>
            <w:vAlign w:val="bottom"/>
            <w:hideMark/>
          </w:tcPr>
          <w:p w:rsidR="00863408" w:rsidRPr="0050036F" w:rsidRDefault="00F36E21" w:rsidP="0050036F">
            <w:pPr>
              <w:spacing w:line="360" w:lineRule="auto"/>
              <w:rPr>
                <w:color w:val="000000"/>
                <w:sz w:val="24"/>
                <w:szCs w:val="24"/>
              </w:rPr>
            </w:pPr>
            <w:r w:rsidRPr="0050036F">
              <w:rPr>
                <w:color w:val="000000"/>
                <w:sz w:val="24"/>
                <w:szCs w:val="24"/>
              </w:rPr>
              <w:t>T</w:t>
            </w:r>
            <w:r w:rsidR="00863408" w:rsidRPr="0050036F">
              <w:rPr>
                <w:color w:val="000000"/>
                <w:sz w:val="24"/>
                <w:szCs w:val="24"/>
              </w:rPr>
              <w:t xml:space="preserve">otal </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469</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100,0%</w:t>
            </w:r>
          </w:p>
        </w:tc>
      </w:tr>
      <w:tr w:rsidR="00863408" w:rsidRPr="0050036F" w:rsidTr="00E84F72">
        <w:trPr>
          <w:trHeight w:val="300"/>
        </w:trPr>
        <w:tc>
          <w:tcPr>
            <w:tcW w:w="1759" w:type="pct"/>
            <w:gridSpan w:val="2"/>
            <w:tcBorders>
              <w:top w:val="nil"/>
              <w:left w:val="nil"/>
              <w:bottom w:val="nil"/>
              <w:right w:val="nil"/>
            </w:tcBorders>
            <w:shd w:val="clear" w:color="auto" w:fill="auto"/>
            <w:noWrap/>
            <w:vAlign w:val="bottom"/>
            <w:hideMark/>
          </w:tcPr>
          <w:p w:rsidR="00863408" w:rsidRPr="0050036F" w:rsidRDefault="00863408" w:rsidP="0050036F">
            <w:pPr>
              <w:spacing w:line="360" w:lineRule="auto"/>
              <w:rPr>
                <w:b/>
                <w:bCs/>
                <w:color w:val="000000"/>
                <w:sz w:val="24"/>
                <w:szCs w:val="24"/>
              </w:rPr>
            </w:pPr>
            <w:r w:rsidRPr="0050036F">
              <w:rPr>
                <w:b/>
                <w:bCs/>
                <w:color w:val="000000"/>
                <w:sz w:val="24"/>
                <w:szCs w:val="24"/>
              </w:rPr>
              <w:t>Fase do dia</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p>
        </w:tc>
        <w:tc>
          <w:tcPr>
            <w:tcW w:w="1759" w:type="pct"/>
            <w:gridSpan w:val="2"/>
            <w:tcBorders>
              <w:top w:val="nil"/>
              <w:left w:val="nil"/>
              <w:bottom w:val="nil"/>
              <w:right w:val="nil"/>
            </w:tcBorders>
            <w:shd w:val="clear" w:color="auto" w:fill="auto"/>
            <w:noWrap/>
            <w:vAlign w:val="bottom"/>
            <w:hideMark/>
          </w:tcPr>
          <w:p w:rsidR="00863408" w:rsidRPr="0050036F" w:rsidRDefault="00863408" w:rsidP="0050036F">
            <w:pPr>
              <w:spacing w:line="360" w:lineRule="auto"/>
              <w:rPr>
                <w:b/>
                <w:bCs/>
                <w:color w:val="000000"/>
                <w:sz w:val="24"/>
                <w:szCs w:val="24"/>
              </w:rPr>
            </w:pPr>
            <w:r w:rsidRPr="0050036F">
              <w:rPr>
                <w:b/>
                <w:bCs/>
                <w:color w:val="000000"/>
                <w:sz w:val="24"/>
                <w:szCs w:val="24"/>
              </w:rPr>
              <w:t>Fase do dia</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p>
        </w:tc>
      </w:tr>
      <w:tr w:rsidR="00863408" w:rsidRPr="0050036F" w:rsidTr="00E84F72">
        <w:trPr>
          <w:trHeight w:val="300"/>
        </w:trPr>
        <w:tc>
          <w:tcPr>
            <w:tcW w:w="1019"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Amanhecer</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30</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4,4%</w:t>
            </w:r>
          </w:p>
        </w:tc>
        <w:tc>
          <w:tcPr>
            <w:tcW w:w="1019"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Amanhecer</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20</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4,3%</w:t>
            </w:r>
          </w:p>
        </w:tc>
      </w:tr>
      <w:tr w:rsidR="00863408" w:rsidRPr="0050036F" w:rsidTr="00E84F72">
        <w:trPr>
          <w:trHeight w:val="300"/>
        </w:trPr>
        <w:tc>
          <w:tcPr>
            <w:tcW w:w="1019"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Pleno do dia</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337</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49,9%</w:t>
            </w:r>
          </w:p>
        </w:tc>
        <w:tc>
          <w:tcPr>
            <w:tcW w:w="1019"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Pleno do dia</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245</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52,2%</w:t>
            </w:r>
          </w:p>
        </w:tc>
      </w:tr>
      <w:tr w:rsidR="00863408" w:rsidRPr="0050036F" w:rsidTr="00E84F72">
        <w:trPr>
          <w:trHeight w:val="300"/>
        </w:trPr>
        <w:tc>
          <w:tcPr>
            <w:tcW w:w="1019"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Anoitecer</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32</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4,7%</w:t>
            </w:r>
          </w:p>
        </w:tc>
        <w:tc>
          <w:tcPr>
            <w:tcW w:w="1019"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Anoitecer</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13</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2,8%</w:t>
            </w:r>
          </w:p>
        </w:tc>
      </w:tr>
      <w:tr w:rsidR="00863408" w:rsidRPr="0050036F" w:rsidTr="00E84F72">
        <w:trPr>
          <w:trHeight w:val="300"/>
        </w:trPr>
        <w:tc>
          <w:tcPr>
            <w:tcW w:w="1019"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Pleno da noite</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277</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41,0%</w:t>
            </w:r>
          </w:p>
        </w:tc>
        <w:tc>
          <w:tcPr>
            <w:tcW w:w="1019"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Pleno da noite</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191</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40,7%</w:t>
            </w:r>
          </w:p>
        </w:tc>
      </w:tr>
      <w:tr w:rsidR="00863408" w:rsidRPr="0050036F" w:rsidTr="00E84F72">
        <w:trPr>
          <w:trHeight w:val="300"/>
        </w:trPr>
        <w:tc>
          <w:tcPr>
            <w:tcW w:w="1019" w:type="pct"/>
            <w:tcBorders>
              <w:top w:val="nil"/>
              <w:left w:val="nil"/>
              <w:bottom w:val="nil"/>
              <w:right w:val="nil"/>
            </w:tcBorders>
            <w:shd w:val="clear" w:color="auto" w:fill="auto"/>
            <w:noWrap/>
            <w:vAlign w:val="bottom"/>
            <w:hideMark/>
          </w:tcPr>
          <w:p w:rsidR="00863408" w:rsidRPr="0050036F" w:rsidRDefault="00F36E21" w:rsidP="0050036F">
            <w:pPr>
              <w:spacing w:line="360" w:lineRule="auto"/>
              <w:rPr>
                <w:color w:val="000000"/>
                <w:sz w:val="24"/>
                <w:szCs w:val="24"/>
              </w:rPr>
            </w:pPr>
            <w:r w:rsidRPr="0050036F">
              <w:rPr>
                <w:color w:val="000000"/>
                <w:sz w:val="24"/>
                <w:szCs w:val="24"/>
              </w:rPr>
              <w:t>T</w:t>
            </w:r>
            <w:r w:rsidR="00863408" w:rsidRPr="0050036F">
              <w:rPr>
                <w:color w:val="000000"/>
                <w:sz w:val="24"/>
                <w:szCs w:val="24"/>
              </w:rPr>
              <w:t xml:space="preserve">otal </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676</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100,0%</w:t>
            </w:r>
          </w:p>
        </w:tc>
        <w:tc>
          <w:tcPr>
            <w:tcW w:w="1019" w:type="pct"/>
            <w:tcBorders>
              <w:top w:val="nil"/>
              <w:left w:val="nil"/>
              <w:bottom w:val="nil"/>
              <w:right w:val="nil"/>
            </w:tcBorders>
            <w:shd w:val="clear" w:color="auto" w:fill="auto"/>
            <w:noWrap/>
            <w:vAlign w:val="bottom"/>
            <w:hideMark/>
          </w:tcPr>
          <w:p w:rsidR="00863408" w:rsidRPr="0050036F" w:rsidRDefault="00F36E21" w:rsidP="0050036F">
            <w:pPr>
              <w:spacing w:line="360" w:lineRule="auto"/>
              <w:rPr>
                <w:color w:val="000000"/>
                <w:sz w:val="24"/>
                <w:szCs w:val="24"/>
              </w:rPr>
            </w:pPr>
            <w:r w:rsidRPr="0050036F">
              <w:rPr>
                <w:color w:val="000000"/>
                <w:sz w:val="24"/>
                <w:szCs w:val="24"/>
              </w:rPr>
              <w:t>T</w:t>
            </w:r>
            <w:r w:rsidR="00863408" w:rsidRPr="0050036F">
              <w:rPr>
                <w:color w:val="000000"/>
                <w:sz w:val="24"/>
                <w:szCs w:val="24"/>
              </w:rPr>
              <w:t xml:space="preserve">otal </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469</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100,0%</w:t>
            </w:r>
          </w:p>
        </w:tc>
      </w:tr>
      <w:tr w:rsidR="00863408" w:rsidRPr="0050036F" w:rsidTr="00E84F72">
        <w:trPr>
          <w:trHeight w:val="300"/>
        </w:trPr>
        <w:tc>
          <w:tcPr>
            <w:tcW w:w="1759" w:type="pct"/>
            <w:gridSpan w:val="2"/>
            <w:tcBorders>
              <w:top w:val="nil"/>
              <w:left w:val="nil"/>
              <w:bottom w:val="nil"/>
              <w:right w:val="nil"/>
            </w:tcBorders>
            <w:shd w:val="clear" w:color="auto" w:fill="auto"/>
            <w:noWrap/>
            <w:vAlign w:val="bottom"/>
            <w:hideMark/>
          </w:tcPr>
          <w:p w:rsidR="00863408" w:rsidRPr="0050036F" w:rsidRDefault="00863408" w:rsidP="0050036F">
            <w:pPr>
              <w:spacing w:line="360" w:lineRule="auto"/>
              <w:rPr>
                <w:b/>
                <w:bCs/>
                <w:color w:val="000000"/>
                <w:sz w:val="24"/>
                <w:szCs w:val="24"/>
              </w:rPr>
            </w:pPr>
            <w:r w:rsidRPr="0050036F">
              <w:rPr>
                <w:b/>
                <w:bCs/>
                <w:color w:val="000000"/>
                <w:sz w:val="24"/>
                <w:szCs w:val="24"/>
              </w:rPr>
              <w:t>Tipo de Pista</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p>
        </w:tc>
        <w:tc>
          <w:tcPr>
            <w:tcW w:w="1759" w:type="pct"/>
            <w:gridSpan w:val="2"/>
            <w:tcBorders>
              <w:top w:val="nil"/>
              <w:left w:val="nil"/>
              <w:bottom w:val="nil"/>
              <w:right w:val="nil"/>
            </w:tcBorders>
            <w:shd w:val="clear" w:color="auto" w:fill="auto"/>
            <w:noWrap/>
            <w:vAlign w:val="bottom"/>
            <w:hideMark/>
          </w:tcPr>
          <w:p w:rsidR="00863408" w:rsidRPr="0050036F" w:rsidRDefault="00863408" w:rsidP="0050036F">
            <w:pPr>
              <w:spacing w:line="360" w:lineRule="auto"/>
              <w:rPr>
                <w:b/>
                <w:bCs/>
                <w:color w:val="000000"/>
                <w:sz w:val="24"/>
                <w:szCs w:val="24"/>
              </w:rPr>
            </w:pPr>
            <w:r w:rsidRPr="0050036F">
              <w:rPr>
                <w:b/>
                <w:bCs/>
                <w:color w:val="000000"/>
                <w:sz w:val="24"/>
                <w:szCs w:val="24"/>
              </w:rPr>
              <w:t>Tipo de Pista</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p>
        </w:tc>
      </w:tr>
      <w:tr w:rsidR="00863408" w:rsidRPr="0050036F" w:rsidTr="00E84F72">
        <w:trPr>
          <w:trHeight w:val="300"/>
        </w:trPr>
        <w:tc>
          <w:tcPr>
            <w:tcW w:w="1019"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sz w:val="24"/>
                <w:szCs w:val="24"/>
              </w:rPr>
            </w:pPr>
            <w:r w:rsidRPr="0050036F">
              <w:rPr>
                <w:sz w:val="24"/>
                <w:szCs w:val="24"/>
              </w:rPr>
              <w:t xml:space="preserve">Simples </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sz w:val="24"/>
                <w:szCs w:val="24"/>
              </w:rPr>
            </w:pPr>
            <w:r w:rsidRPr="0050036F">
              <w:rPr>
                <w:sz w:val="24"/>
                <w:szCs w:val="24"/>
              </w:rPr>
              <w:t>457</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sz w:val="24"/>
                <w:szCs w:val="24"/>
              </w:rPr>
            </w:pPr>
            <w:r w:rsidRPr="0050036F">
              <w:rPr>
                <w:sz w:val="24"/>
                <w:szCs w:val="24"/>
              </w:rPr>
              <w:t>67,6%</w:t>
            </w:r>
          </w:p>
        </w:tc>
        <w:tc>
          <w:tcPr>
            <w:tcW w:w="1019"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sz w:val="24"/>
                <w:szCs w:val="24"/>
              </w:rPr>
            </w:pPr>
            <w:r w:rsidRPr="0050036F">
              <w:rPr>
                <w:sz w:val="24"/>
                <w:szCs w:val="24"/>
              </w:rPr>
              <w:t xml:space="preserve">Simples </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sz w:val="24"/>
                <w:szCs w:val="24"/>
              </w:rPr>
            </w:pPr>
            <w:r w:rsidRPr="0050036F">
              <w:rPr>
                <w:sz w:val="24"/>
                <w:szCs w:val="24"/>
              </w:rPr>
              <w:t>259</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sz w:val="24"/>
                <w:szCs w:val="24"/>
              </w:rPr>
            </w:pPr>
            <w:r w:rsidRPr="0050036F">
              <w:rPr>
                <w:sz w:val="24"/>
                <w:szCs w:val="24"/>
              </w:rPr>
              <w:t>55,2%</w:t>
            </w:r>
          </w:p>
        </w:tc>
      </w:tr>
      <w:tr w:rsidR="00863408" w:rsidRPr="0050036F" w:rsidTr="00E84F72">
        <w:trPr>
          <w:trHeight w:val="300"/>
        </w:trPr>
        <w:tc>
          <w:tcPr>
            <w:tcW w:w="1019"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Dupla</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219</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32,4%</w:t>
            </w:r>
          </w:p>
        </w:tc>
        <w:tc>
          <w:tcPr>
            <w:tcW w:w="1019"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Dupla</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210</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44,8%</w:t>
            </w:r>
          </w:p>
        </w:tc>
      </w:tr>
      <w:tr w:rsidR="00863408" w:rsidRPr="0050036F" w:rsidTr="00E84F72">
        <w:trPr>
          <w:trHeight w:val="300"/>
        </w:trPr>
        <w:tc>
          <w:tcPr>
            <w:tcW w:w="1019" w:type="pct"/>
            <w:tcBorders>
              <w:top w:val="nil"/>
              <w:left w:val="nil"/>
              <w:bottom w:val="nil"/>
              <w:right w:val="nil"/>
            </w:tcBorders>
            <w:shd w:val="clear" w:color="auto" w:fill="auto"/>
            <w:noWrap/>
            <w:vAlign w:val="bottom"/>
            <w:hideMark/>
          </w:tcPr>
          <w:p w:rsidR="00863408" w:rsidRPr="0050036F" w:rsidRDefault="00D20382" w:rsidP="0050036F">
            <w:pPr>
              <w:spacing w:line="360" w:lineRule="auto"/>
              <w:rPr>
                <w:color w:val="000000"/>
                <w:sz w:val="24"/>
                <w:szCs w:val="24"/>
              </w:rPr>
            </w:pPr>
            <w:r w:rsidRPr="0050036F">
              <w:rPr>
                <w:color w:val="000000"/>
                <w:sz w:val="24"/>
                <w:szCs w:val="24"/>
              </w:rPr>
              <w:t>Total</w:t>
            </w:r>
            <w:r w:rsidR="00863408" w:rsidRPr="0050036F">
              <w:rPr>
                <w:color w:val="000000"/>
                <w:sz w:val="24"/>
                <w:szCs w:val="24"/>
              </w:rPr>
              <w:t xml:space="preserve"> </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676</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100,0%</w:t>
            </w:r>
          </w:p>
        </w:tc>
        <w:tc>
          <w:tcPr>
            <w:tcW w:w="1019" w:type="pct"/>
            <w:tcBorders>
              <w:top w:val="nil"/>
              <w:left w:val="nil"/>
              <w:bottom w:val="nil"/>
              <w:right w:val="nil"/>
            </w:tcBorders>
            <w:shd w:val="clear" w:color="auto" w:fill="auto"/>
            <w:noWrap/>
            <w:vAlign w:val="bottom"/>
            <w:hideMark/>
          </w:tcPr>
          <w:p w:rsidR="00863408" w:rsidRPr="0050036F" w:rsidRDefault="00D20382" w:rsidP="0050036F">
            <w:pPr>
              <w:spacing w:line="360" w:lineRule="auto"/>
              <w:rPr>
                <w:color w:val="000000"/>
                <w:sz w:val="24"/>
                <w:szCs w:val="24"/>
              </w:rPr>
            </w:pPr>
            <w:r w:rsidRPr="0050036F">
              <w:rPr>
                <w:color w:val="000000"/>
                <w:sz w:val="24"/>
                <w:szCs w:val="24"/>
              </w:rPr>
              <w:t>Total</w:t>
            </w:r>
            <w:r w:rsidR="00863408" w:rsidRPr="0050036F">
              <w:rPr>
                <w:color w:val="000000"/>
                <w:sz w:val="24"/>
                <w:szCs w:val="24"/>
              </w:rPr>
              <w:t xml:space="preserve"> </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469</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100,0%</w:t>
            </w:r>
          </w:p>
        </w:tc>
      </w:tr>
      <w:tr w:rsidR="00863408" w:rsidRPr="0050036F" w:rsidTr="00E84F72">
        <w:trPr>
          <w:trHeight w:val="300"/>
        </w:trPr>
        <w:tc>
          <w:tcPr>
            <w:tcW w:w="2500" w:type="pct"/>
            <w:gridSpan w:val="3"/>
            <w:tcBorders>
              <w:top w:val="nil"/>
              <w:left w:val="nil"/>
              <w:bottom w:val="nil"/>
              <w:right w:val="nil"/>
            </w:tcBorders>
            <w:shd w:val="clear" w:color="auto" w:fill="auto"/>
            <w:noWrap/>
            <w:vAlign w:val="bottom"/>
            <w:hideMark/>
          </w:tcPr>
          <w:p w:rsidR="00863408" w:rsidRPr="0050036F" w:rsidRDefault="00863408" w:rsidP="0050036F">
            <w:pPr>
              <w:spacing w:line="360" w:lineRule="auto"/>
              <w:rPr>
                <w:b/>
                <w:bCs/>
                <w:color w:val="000000"/>
                <w:sz w:val="24"/>
                <w:szCs w:val="24"/>
              </w:rPr>
            </w:pPr>
            <w:r w:rsidRPr="0050036F">
              <w:rPr>
                <w:b/>
                <w:bCs/>
                <w:color w:val="000000"/>
                <w:sz w:val="24"/>
                <w:szCs w:val="24"/>
              </w:rPr>
              <w:t xml:space="preserve">Condição Meteorológica </w:t>
            </w:r>
          </w:p>
        </w:tc>
        <w:tc>
          <w:tcPr>
            <w:tcW w:w="2500" w:type="pct"/>
            <w:gridSpan w:val="3"/>
            <w:tcBorders>
              <w:top w:val="nil"/>
              <w:left w:val="nil"/>
              <w:bottom w:val="nil"/>
              <w:right w:val="nil"/>
            </w:tcBorders>
            <w:shd w:val="clear" w:color="auto" w:fill="auto"/>
            <w:noWrap/>
            <w:vAlign w:val="bottom"/>
            <w:hideMark/>
          </w:tcPr>
          <w:p w:rsidR="00863408" w:rsidRPr="0050036F" w:rsidRDefault="00863408" w:rsidP="0050036F">
            <w:pPr>
              <w:spacing w:line="360" w:lineRule="auto"/>
              <w:rPr>
                <w:b/>
                <w:bCs/>
                <w:color w:val="000000"/>
                <w:sz w:val="24"/>
                <w:szCs w:val="24"/>
              </w:rPr>
            </w:pPr>
            <w:r w:rsidRPr="0050036F">
              <w:rPr>
                <w:b/>
                <w:bCs/>
                <w:color w:val="000000"/>
                <w:sz w:val="24"/>
                <w:szCs w:val="24"/>
              </w:rPr>
              <w:t xml:space="preserve">Condição Meteorológica </w:t>
            </w:r>
          </w:p>
        </w:tc>
      </w:tr>
      <w:tr w:rsidR="00863408" w:rsidRPr="0050036F" w:rsidTr="00E84F72">
        <w:trPr>
          <w:trHeight w:val="300"/>
        </w:trPr>
        <w:tc>
          <w:tcPr>
            <w:tcW w:w="1019" w:type="pct"/>
            <w:tcBorders>
              <w:top w:val="nil"/>
              <w:left w:val="nil"/>
              <w:bottom w:val="nil"/>
              <w:right w:val="nil"/>
            </w:tcBorders>
            <w:shd w:val="clear" w:color="auto" w:fill="auto"/>
            <w:noWrap/>
            <w:vAlign w:val="bottom"/>
            <w:hideMark/>
          </w:tcPr>
          <w:p w:rsidR="00863408" w:rsidRPr="0050036F" w:rsidRDefault="00F36E21" w:rsidP="0050036F">
            <w:pPr>
              <w:spacing w:line="360" w:lineRule="auto"/>
              <w:rPr>
                <w:color w:val="000000"/>
                <w:sz w:val="24"/>
                <w:szCs w:val="24"/>
              </w:rPr>
            </w:pPr>
            <w:r w:rsidRPr="0050036F">
              <w:rPr>
                <w:color w:val="000000"/>
                <w:sz w:val="24"/>
                <w:szCs w:val="24"/>
              </w:rPr>
              <w:t>S</w:t>
            </w:r>
            <w:r w:rsidR="00863408" w:rsidRPr="0050036F">
              <w:rPr>
                <w:color w:val="000000"/>
                <w:sz w:val="24"/>
                <w:szCs w:val="24"/>
              </w:rPr>
              <w:t>ol</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459</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67,9%</w:t>
            </w:r>
          </w:p>
        </w:tc>
        <w:tc>
          <w:tcPr>
            <w:tcW w:w="1019" w:type="pct"/>
            <w:tcBorders>
              <w:top w:val="nil"/>
              <w:left w:val="nil"/>
              <w:bottom w:val="nil"/>
              <w:right w:val="nil"/>
            </w:tcBorders>
            <w:shd w:val="clear" w:color="auto" w:fill="auto"/>
            <w:noWrap/>
            <w:vAlign w:val="bottom"/>
            <w:hideMark/>
          </w:tcPr>
          <w:p w:rsidR="00863408" w:rsidRPr="0050036F" w:rsidRDefault="00F36E21" w:rsidP="0050036F">
            <w:pPr>
              <w:spacing w:line="360" w:lineRule="auto"/>
              <w:rPr>
                <w:color w:val="000000"/>
                <w:sz w:val="24"/>
                <w:szCs w:val="24"/>
              </w:rPr>
            </w:pPr>
            <w:r w:rsidRPr="0050036F">
              <w:rPr>
                <w:color w:val="000000"/>
                <w:sz w:val="24"/>
                <w:szCs w:val="24"/>
              </w:rPr>
              <w:t>S</w:t>
            </w:r>
            <w:r w:rsidR="00863408" w:rsidRPr="0050036F">
              <w:rPr>
                <w:color w:val="000000"/>
                <w:sz w:val="24"/>
                <w:szCs w:val="24"/>
              </w:rPr>
              <w:t>ol</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360</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76,8%</w:t>
            </w:r>
          </w:p>
        </w:tc>
      </w:tr>
      <w:tr w:rsidR="00863408" w:rsidRPr="0050036F" w:rsidTr="00E84F72">
        <w:trPr>
          <w:trHeight w:val="300"/>
        </w:trPr>
        <w:tc>
          <w:tcPr>
            <w:tcW w:w="1019" w:type="pct"/>
            <w:tcBorders>
              <w:top w:val="nil"/>
              <w:left w:val="nil"/>
              <w:bottom w:val="nil"/>
              <w:right w:val="nil"/>
            </w:tcBorders>
            <w:shd w:val="clear" w:color="auto" w:fill="auto"/>
            <w:noWrap/>
            <w:vAlign w:val="bottom"/>
            <w:hideMark/>
          </w:tcPr>
          <w:p w:rsidR="00863408" w:rsidRPr="0050036F" w:rsidRDefault="00F36E21" w:rsidP="0050036F">
            <w:pPr>
              <w:spacing w:line="360" w:lineRule="auto"/>
              <w:rPr>
                <w:color w:val="000000"/>
                <w:sz w:val="24"/>
                <w:szCs w:val="24"/>
              </w:rPr>
            </w:pPr>
            <w:r w:rsidRPr="0050036F">
              <w:rPr>
                <w:color w:val="000000"/>
                <w:sz w:val="24"/>
                <w:szCs w:val="24"/>
              </w:rPr>
              <w:t>C</w:t>
            </w:r>
            <w:r w:rsidR="00863408" w:rsidRPr="0050036F">
              <w:rPr>
                <w:color w:val="000000"/>
                <w:sz w:val="24"/>
                <w:szCs w:val="24"/>
              </w:rPr>
              <w:t xml:space="preserve">huva </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56</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8,3%</w:t>
            </w:r>
          </w:p>
        </w:tc>
        <w:tc>
          <w:tcPr>
            <w:tcW w:w="1019" w:type="pct"/>
            <w:tcBorders>
              <w:top w:val="nil"/>
              <w:left w:val="nil"/>
              <w:bottom w:val="nil"/>
              <w:right w:val="nil"/>
            </w:tcBorders>
            <w:shd w:val="clear" w:color="auto" w:fill="auto"/>
            <w:noWrap/>
            <w:vAlign w:val="bottom"/>
            <w:hideMark/>
          </w:tcPr>
          <w:p w:rsidR="00863408" w:rsidRPr="0050036F" w:rsidRDefault="00F36E21" w:rsidP="0050036F">
            <w:pPr>
              <w:spacing w:line="360" w:lineRule="auto"/>
              <w:rPr>
                <w:color w:val="000000"/>
                <w:sz w:val="24"/>
                <w:szCs w:val="24"/>
              </w:rPr>
            </w:pPr>
            <w:r w:rsidRPr="0050036F">
              <w:rPr>
                <w:color w:val="000000"/>
                <w:sz w:val="24"/>
                <w:szCs w:val="24"/>
              </w:rPr>
              <w:t>C</w:t>
            </w:r>
            <w:r w:rsidR="00863408" w:rsidRPr="0050036F">
              <w:rPr>
                <w:color w:val="000000"/>
                <w:sz w:val="24"/>
                <w:szCs w:val="24"/>
              </w:rPr>
              <w:t>huva</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65</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13,9%</w:t>
            </w:r>
          </w:p>
        </w:tc>
      </w:tr>
      <w:tr w:rsidR="00863408" w:rsidRPr="0050036F" w:rsidTr="00E84F72">
        <w:trPr>
          <w:trHeight w:val="300"/>
        </w:trPr>
        <w:tc>
          <w:tcPr>
            <w:tcW w:w="1019" w:type="pct"/>
            <w:tcBorders>
              <w:top w:val="nil"/>
              <w:left w:val="nil"/>
              <w:bottom w:val="nil"/>
              <w:right w:val="nil"/>
            </w:tcBorders>
            <w:shd w:val="clear" w:color="auto" w:fill="auto"/>
            <w:noWrap/>
            <w:vAlign w:val="bottom"/>
            <w:hideMark/>
          </w:tcPr>
          <w:p w:rsidR="00863408" w:rsidRPr="0050036F" w:rsidRDefault="00F36E21" w:rsidP="0050036F">
            <w:pPr>
              <w:spacing w:line="360" w:lineRule="auto"/>
              <w:rPr>
                <w:color w:val="000000"/>
                <w:sz w:val="24"/>
                <w:szCs w:val="24"/>
              </w:rPr>
            </w:pPr>
            <w:r w:rsidRPr="0050036F">
              <w:rPr>
                <w:color w:val="000000"/>
                <w:sz w:val="24"/>
                <w:szCs w:val="24"/>
              </w:rPr>
              <w:lastRenderedPageBreak/>
              <w:t>N</w:t>
            </w:r>
            <w:r w:rsidR="00863408" w:rsidRPr="0050036F">
              <w:rPr>
                <w:color w:val="000000"/>
                <w:sz w:val="24"/>
                <w:szCs w:val="24"/>
              </w:rPr>
              <w:t>eblina</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6</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0,9%</w:t>
            </w:r>
          </w:p>
        </w:tc>
        <w:tc>
          <w:tcPr>
            <w:tcW w:w="1019" w:type="pct"/>
            <w:tcBorders>
              <w:top w:val="nil"/>
              <w:left w:val="nil"/>
              <w:bottom w:val="nil"/>
              <w:right w:val="nil"/>
            </w:tcBorders>
            <w:shd w:val="clear" w:color="auto" w:fill="auto"/>
            <w:noWrap/>
            <w:vAlign w:val="bottom"/>
            <w:hideMark/>
          </w:tcPr>
          <w:p w:rsidR="00863408" w:rsidRPr="0050036F" w:rsidRDefault="00F36E21" w:rsidP="0050036F">
            <w:pPr>
              <w:spacing w:line="360" w:lineRule="auto"/>
              <w:rPr>
                <w:color w:val="000000"/>
                <w:sz w:val="24"/>
                <w:szCs w:val="24"/>
              </w:rPr>
            </w:pPr>
            <w:r w:rsidRPr="0050036F">
              <w:rPr>
                <w:color w:val="000000"/>
                <w:sz w:val="24"/>
                <w:szCs w:val="24"/>
              </w:rPr>
              <w:t>N</w:t>
            </w:r>
            <w:r w:rsidR="00863408" w:rsidRPr="0050036F">
              <w:rPr>
                <w:color w:val="000000"/>
                <w:sz w:val="24"/>
                <w:szCs w:val="24"/>
              </w:rPr>
              <w:t>eblina</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0</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0,0%</w:t>
            </w:r>
          </w:p>
        </w:tc>
      </w:tr>
      <w:tr w:rsidR="00863408" w:rsidRPr="0050036F" w:rsidTr="00E84F72">
        <w:trPr>
          <w:trHeight w:val="300"/>
        </w:trPr>
        <w:tc>
          <w:tcPr>
            <w:tcW w:w="1019" w:type="pct"/>
            <w:tcBorders>
              <w:top w:val="nil"/>
              <w:left w:val="nil"/>
              <w:bottom w:val="nil"/>
              <w:right w:val="nil"/>
            </w:tcBorders>
            <w:shd w:val="clear" w:color="auto" w:fill="auto"/>
            <w:noWrap/>
            <w:vAlign w:val="bottom"/>
            <w:hideMark/>
          </w:tcPr>
          <w:p w:rsidR="00863408" w:rsidRPr="0050036F" w:rsidRDefault="00F36E21" w:rsidP="0050036F">
            <w:pPr>
              <w:spacing w:line="360" w:lineRule="auto"/>
              <w:rPr>
                <w:color w:val="000000"/>
                <w:sz w:val="24"/>
                <w:szCs w:val="24"/>
              </w:rPr>
            </w:pPr>
            <w:r w:rsidRPr="0050036F">
              <w:rPr>
                <w:color w:val="000000"/>
                <w:sz w:val="24"/>
                <w:szCs w:val="24"/>
              </w:rPr>
              <w:t>G</w:t>
            </w:r>
            <w:r w:rsidR="00863408" w:rsidRPr="0050036F">
              <w:rPr>
                <w:color w:val="000000"/>
                <w:sz w:val="24"/>
                <w:szCs w:val="24"/>
              </w:rPr>
              <w:t>aroa</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7</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1,0%</w:t>
            </w:r>
          </w:p>
        </w:tc>
        <w:tc>
          <w:tcPr>
            <w:tcW w:w="1019" w:type="pct"/>
            <w:tcBorders>
              <w:top w:val="nil"/>
              <w:left w:val="nil"/>
              <w:bottom w:val="nil"/>
              <w:right w:val="nil"/>
            </w:tcBorders>
            <w:shd w:val="clear" w:color="auto" w:fill="auto"/>
            <w:noWrap/>
            <w:vAlign w:val="bottom"/>
            <w:hideMark/>
          </w:tcPr>
          <w:p w:rsidR="00863408" w:rsidRPr="0050036F" w:rsidRDefault="00F36E21" w:rsidP="0050036F">
            <w:pPr>
              <w:spacing w:line="360" w:lineRule="auto"/>
              <w:rPr>
                <w:color w:val="000000"/>
                <w:sz w:val="24"/>
                <w:szCs w:val="24"/>
              </w:rPr>
            </w:pPr>
            <w:r w:rsidRPr="0050036F">
              <w:rPr>
                <w:color w:val="000000"/>
                <w:sz w:val="24"/>
                <w:szCs w:val="24"/>
              </w:rPr>
              <w:t>G</w:t>
            </w:r>
            <w:r w:rsidR="00863408" w:rsidRPr="0050036F">
              <w:rPr>
                <w:color w:val="000000"/>
                <w:sz w:val="24"/>
                <w:szCs w:val="24"/>
              </w:rPr>
              <w:t>aroa</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7</w:t>
            </w:r>
          </w:p>
        </w:tc>
        <w:tc>
          <w:tcPr>
            <w:tcW w:w="741" w:type="pct"/>
            <w:tcBorders>
              <w:top w:val="nil"/>
              <w:left w:val="nil"/>
              <w:bottom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1,5%</w:t>
            </w:r>
          </w:p>
        </w:tc>
      </w:tr>
      <w:tr w:rsidR="00863408" w:rsidRPr="0050036F" w:rsidTr="002B67F9">
        <w:trPr>
          <w:trHeight w:val="300"/>
        </w:trPr>
        <w:tc>
          <w:tcPr>
            <w:tcW w:w="1019" w:type="pct"/>
            <w:tcBorders>
              <w:top w:val="nil"/>
              <w:left w:val="nil"/>
              <w:right w:val="nil"/>
            </w:tcBorders>
            <w:shd w:val="clear" w:color="auto" w:fill="auto"/>
            <w:noWrap/>
            <w:vAlign w:val="bottom"/>
            <w:hideMark/>
          </w:tcPr>
          <w:p w:rsidR="00863408" w:rsidRPr="0050036F" w:rsidRDefault="00F36E21" w:rsidP="0050036F">
            <w:pPr>
              <w:spacing w:line="360" w:lineRule="auto"/>
              <w:rPr>
                <w:color w:val="000000"/>
                <w:sz w:val="24"/>
                <w:szCs w:val="24"/>
              </w:rPr>
            </w:pPr>
            <w:r w:rsidRPr="0050036F">
              <w:rPr>
                <w:color w:val="000000"/>
                <w:sz w:val="24"/>
                <w:szCs w:val="24"/>
              </w:rPr>
              <w:t>N</w:t>
            </w:r>
            <w:r w:rsidR="00863408" w:rsidRPr="0050036F">
              <w:rPr>
                <w:color w:val="000000"/>
                <w:sz w:val="24"/>
                <w:szCs w:val="24"/>
              </w:rPr>
              <w:t>ublado</w:t>
            </w:r>
          </w:p>
        </w:tc>
        <w:tc>
          <w:tcPr>
            <w:tcW w:w="741" w:type="pct"/>
            <w:tcBorders>
              <w:top w:val="nil"/>
              <w:left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127</w:t>
            </w:r>
          </w:p>
        </w:tc>
        <w:tc>
          <w:tcPr>
            <w:tcW w:w="741" w:type="pct"/>
            <w:tcBorders>
              <w:top w:val="nil"/>
              <w:left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18,8%</w:t>
            </w:r>
          </w:p>
        </w:tc>
        <w:tc>
          <w:tcPr>
            <w:tcW w:w="1019" w:type="pct"/>
            <w:tcBorders>
              <w:top w:val="nil"/>
              <w:left w:val="nil"/>
              <w:right w:val="nil"/>
            </w:tcBorders>
            <w:shd w:val="clear" w:color="auto" w:fill="auto"/>
            <w:noWrap/>
            <w:vAlign w:val="bottom"/>
            <w:hideMark/>
          </w:tcPr>
          <w:p w:rsidR="00863408" w:rsidRPr="0050036F" w:rsidRDefault="00F36E21" w:rsidP="0050036F">
            <w:pPr>
              <w:spacing w:line="360" w:lineRule="auto"/>
              <w:rPr>
                <w:color w:val="000000"/>
                <w:sz w:val="24"/>
                <w:szCs w:val="24"/>
              </w:rPr>
            </w:pPr>
            <w:r w:rsidRPr="0050036F">
              <w:rPr>
                <w:color w:val="000000"/>
                <w:sz w:val="24"/>
                <w:szCs w:val="24"/>
              </w:rPr>
              <w:t>N</w:t>
            </w:r>
            <w:r w:rsidR="00863408" w:rsidRPr="0050036F">
              <w:rPr>
                <w:color w:val="000000"/>
                <w:sz w:val="24"/>
                <w:szCs w:val="24"/>
              </w:rPr>
              <w:t xml:space="preserve">ublado </w:t>
            </w:r>
          </w:p>
        </w:tc>
        <w:tc>
          <w:tcPr>
            <w:tcW w:w="741" w:type="pct"/>
            <w:tcBorders>
              <w:top w:val="nil"/>
              <w:left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36</w:t>
            </w:r>
          </w:p>
        </w:tc>
        <w:tc>
          <w:tcPr>
            <w:tcW w:w="741" w:type="pct"/>
            <w:tcBorders>
              <w:top w:val="nil"/>
              <w:left w:val="nil"/>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7,7%</w:t>
            </w:r>
          </w:p>
        </w:tc>
      </w:tr>
      <w:tr w:rsidR="00863408" w:rsidRPr="0050036F" w:rsidTr="002B67F9">
        <w:trPr>
          <w:trHeight w:val="300"/>
        </w:trPr>
        <w:tc>
          <w:tcPr>
            <w:tcW w:w="1019" w:type="pct"/>
            <w:tcBorders>
              <w:top w:val="nil"/>
              <w:left w:val="nil"/>
              <w:bottom w:val="single" w:sz="4" w:space="0" w:color="auto"/>
              <w:right w:val="nil"/>
            </w:tcBorders>
            <w:shd w:val="clear" w:color="auto" w:fill="auto"/>
            <w:noWrap/>
            <w:vAlign w:val="bottom"/>
            <w:hideMark/>
          </w:tcPr>
          <w:p w:rsidR="00863408" w:rsidRPr="0050036F" w:rsidRDefault="007B17A5" w:rsidP="0050036F">
            <w:pPr>
              <w:spacing w:line="360" w:lineRule="auto"/>
              <w:rPr>
                <w:color w:val="000000"/>
                <w:sz w:val="24"/>
                <w:szCs w:val="24"/>
              </w:rPr>
            </w:pPr>
            <w:r w:rsidRPr="0050036F">
              <w:rPr>
                <w:color w:val="000000"/>
                <w:sz w:val="24"/>
                <w:szCs w:val="24"/>
              </w:rPr>
              <w:t>I</w:t>
            </w:r>
            <w:r w:rsidR="00863408" w:rsidRPr="0050036F">
              <w:rPr>
                <w:color w:val="000000"/>
                <w:sz w:val="24"/>
                <w:szCs w:val="24"/>
              </w:rPr>
              <w:t>gnorado</w:t>
            </w:r>
          </w:p>
          <w:p w:rsidR="007B17A5" w:rsidRPr="0050036F" w:rsidRDefault="007B17A5" w:rsidP="0050036F">
            <w:pPr>
              <w:spacing w:line="360" w:lineRule="auto"/>
              <w:rPr>
                <w:color w:val="000000"/>
                <w:sz w:val="24"/>
                <w:szCs w:val="24"/>
              </w:rPr>
            </w:pPr>
            <w:r w:rsidRPr="0050036F">
              <w:rPr>
                <w:color w:val="000000"/>
                <w:sz w:val="24"/>
                <w:szCs w:val="24"/>
              </w:rPr>
              <w:t>Total</w:t>
            </w:r>
          </w:p>
        </w:tc>
        <w:tc>
          <w:tcPr>
            <w:tcW w:w="741" w:type="pct"/>
            <w:tcBorders>
              <w:top w:val="nil"/>
              <w:left w:val="nil"/>
              <w:bottom w:val="single" w:sz="4" w:space="0" w:color="auto"/>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21</w:t>
            </w:r>
          </w:p>
          <w:p w:rsidR="007B17A5" w:rsidRPr="0050036F" w:rsidRDefault="007B17A5" w:rsidP="0050036F">
            <w:pPr>
              <w:spacing w:line="360" w:lineRule="auto"/>
              <w:rPr>
                <w:color w:val="000000"/>
                <w:sz w:val="24"/>
                <w:szCs w:val="24"/>
              </w:rPr>
            </w:pPr>
            <w:r w:rsidRPr="0050036F">
              <w:rPr>
                <w:color w:val="000000"/>
                <w:sz w:val="24"/>
                <w:szCs w:val="24"/>
              </w:rPr>
              <w:t>676</w:t>
            </w:r>
          </w:p>
        </w:tc>
        <w:tc>
          <w:tcPr>
            <w:tcW w:w="741" w:type="pct"/>
            <w:tcBorders>
              <w:top w:val="nil"/>
              <w:left w:val="nil"/>
              <w:bottom w:val="single" w:sz="4" w:space="0" w:color="auto"/>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3,1%</w:t>
            </w:r>
          </w:p>
          <w:p w:rsidR="007B17A5" w:rsidRPr="0050036F" w:rsidRDefault="007B17A5" w:rsidP="0050036F">
            <w:pPr>
              <w:spacing w:line="360" w:lineRule="auto"/>
              <w:rPr>
                <w:color w:val="000000"/>
                <w:sz w:val="24"/>
                <w:szCs w:val="24"/>
              </w:rPr>
            </w:pPr>
            <w:r w:rsidRPr="0050036F">
              <w:rPr>
                <w:color w:val="000000"/>
                <w:sz w:val="24"/>
                <w:szCs w:val="24"/>
              </w:rPr>
              <w:t>100,0%</w:t>
            </w:r>
          </w:p>
        </w:tc>
        <w:tc>
          <w:tcPr>
            <w:tcW w:w="1019" w:type="pct"/>
            <w:tcBorders>
              <w:top w:val="nil"/>
              <w:left w:val="nil"/>
              <w:bottom w:val="single" w:sz="4" w:space="0" w:color="auto"/>
              <w:right w:val="nil"/>
            </w:tcBorders>
            <w:shd w:val="clear" w:color="auto" w:fill="auto"/>
            <w:noWrap/>
            <w:vAlign w:val="bottom"/>
            <w:hideMark/>
          </w:tcPr>
          <w:p w:rsidR="00863408" w:rsidRPr="0050036F" w:rsidRDefault="007B17A5" w:rsidP="0050036F">
            <w:pPr>
              <w:spacing w:line="360" w:lineRule="auto"/>
              <w:rPr>
                <w:color w:val="000000"/>
                <w:sz w:val="24"/>
                <w:szCs w:val="24"/>
              </w:rPr>
            </w:pPr>
            <w:r w:rsidRPr="0050036F">
              <w:rPr>
                <w:color w:val="000000"/>
                <w:sz w:val="24"/>
                <w:szCs w:val="24"/>
              </w:rPr>
              <w:t>I</w:t>
            </w:r>
            <w:r w:rsidR="00863408" w:rsidRPr="0050036F">
              <w:rPr>
                <w:color w:val="000000"/>
                <w:sz w:val="24"/>
                <w:szCs w:val="24"/>
              </w:rPr>
              <w:t>gnorado</w:t>
            </w:r>
          </w:p>
          <w:p w:rsidR="007B17A5" w:rsidRPr="0050036F" w:rsidRDefault="007B17A5" w:rsidP="0050036F">
            <w:pPr>
              <w:spacing w:line="360" w:lineRule="auto"/>
              <w:rPr>
                <w:color w:val="000000"/>
                <w:sz w:val="24"/>
                <w:szCs w:val="24"/>
              </w:rPr>
            </w:pPr>
            <w:r w:rsidRPr="0050036F">
              <w:rPr>
                <w:color w:val="000000"/>
                <w:sz w:val="24"/>
                <w:szCs w:val="24"/>
              </w:rPr>
              <w:t>Total</w:t>
            </w:r>
          </w:p>
        </w:tc>
        <w:tc>
          <w:tcPr>
            <w:tcW w:w="741" w:type="pct"/>
            <w:tcBorders>
              <w:top w:val="nil"/>
              <w:left w:val="nil"/>
              <w:bottom w:val="single" w:sz="4" w:space="0" w:color="auto"/>
              <w:right w:val="nil"/>
            </w:tcBorders>
            <w:shd w:val="clear" w:color="auto" w:fill="auto"/>
            <w:noWrap/>
            <w:vAlign w:val="bottom"/>
            <w:hideMark/>
          </w:tcPr>
          <w:p w:rsidR="00863408" w:rsidRPr="0050036F" w:rsidRDefault="00863408" w:rsidP="0050036F">
            <w:pPr>
              <w:spacing w:line="360" w:lineRule="auto"/>
              <w:rPr>
                <w:color w:val="000000"/>
                <w:sz w:val="24"/>
                <w:szCs w:val="24"/>
              </w:rPr>
            </w:pPr>
            <w:r w:rsidRPr="0050036F">
              <w:rPr>
                <w:color w:val="000000"/>
                <w:sz w:val="24"/>
                <w:szCs w:val="24"/>
              </w:rPr>
              <w:t>1</w:t>
            </w:r>
          </w:p>
          <w:p w:rsidR="007B17A5" w:rsidRPr="0050036F" w:rsidRDefault="007B17A5" w:rsidP="0050036F">
            <w:pPr>
              <w:spacing w:line="360" w:lineRule="auto"/>
              <w:rPr>
                <w:color w:val="000000"/>
                <w:sz w:val="24"/>
                <w:szCs w:val="24"/>
              </w:rPr>
            </w:pPr>
            <w:r w:rsidRPr="0050036F">
              <w:rPr>
                <w:color w:val="000000"/>
                <w:sz w:val="24"/>
                <w:szCs w:val="24"/>
              </w:rPr>
              <w:t>469</w:t>
            </w:r>
          </w:p>
        </w:tc>
        <w:tc>
          <w:tcPr>
            <w:tcW w:w="741" w:type="pct"/>
            <w:tcBorders>
              <w:top w:val="nil"/>
              <w:left w:val="nil"/>
              <w:bottom w:val="single" w:sz="4" w:space="0" w:color="auto"/>
              <w:right w:val="nil"/>
            </w:tcBorders>
            <w:shd w:val="clear" w:color="auto" w:fill="auto"/>
            <w:noWrap/>
            <w:vAlign w:val="bottom"/>
            <w:hideMark/>
          </w:tcPr>
          <w:p w:rsidR="007B17A5" w:rsidRPr="0050036F" w:rsidRDefault="00863408" w:rsidP="0050036F">
            <w:pPr>
              <w:spacing w:line="360" w:lineRule="auto"/>
              <w:rPr>
                <w:color w:val="000000"/>
                <w:sz w:val="24"/>
                <w:szCs w:val="24"/>
              </w:rPr>
            </w:pPr>
            <w:r w:rsidRPr="0050036F">
              <w:rPr>
                <w:color w:val="000000"/>
                <w:sz w:val="24"/>
                <w:szCs w:val="24"/>
              </w:rPr>
              <w:t>0,2%</w:t>
            </w:r>
          </w:p>
          <w:p w:rsidR="007B17A5" w:rsidRPr="0050036F" w:rsidRDefault="007B17A5" w:rsidP="0050036F">
            <w:pPr>
              <w:spacing w:line="360" w:lineRule="auto"/>
              <w:rPr>
                <w:color w:val="000000"/>
                <w:sz w:val="24"/>
                <w:szCs w:val="24"/>
              </w:rPr>
            </w:pPr>
            <w:r w:rsidRPr="0050036F">
              <w:rPr>
                <w:color w:val="000000"/>
                <w:sz w:val="24"/>
                <w:szCs w:val="24"/>
              </w:rPr>
              <w:t>100,0%</w:t>
            </w:r>
          </w:p>
        </w:tc>
      </w:tr>
    </w:tbl>
    <w:p w:rsidR="002B67F9" w:rsidRPr="0050036F" w:rsidRDefault="002B67F9" w:rsidP="0050036F">
      <w:pPr>
        <w:spacing w:after="200" w:line="360" w:lineRule="auto"/>
        <w:ind w:firstLine="708"/>
        <w:jc w:val="both"/>
        <w:rPr>
          <w:rFonts w:eastAsia="Calibri"/>
          <w:sz w:val="24"/>
          <w:szCs w:val="24"/>
          <w:lang w:eastAsia="en-US"/>
        </w:rPr>
      </w:pPr>
    </w:p>
    <w:p w:rsidR="00863408" w:rsidRPr="0050036F" w:rsidRDefault="00F36E21" w:rsidP="0050036F">
      <w:pPr>
        <w:spacing w:after="200" w:line="360" w:lineRule="auto"/>
        <w:ind w:firstLine="708"/>
        <w:jc w:val="both"/>
        <w:rPr>
          <w:rFonts w:eastAsia="Calibri"/>
          <w:sz w:val="24"/>
          <w:szCs w:val="24"/>
          <w:lang w:eastAsia="en-US"/>
        </w:rPr>
      </w:pPr>
      <w:r w:rsidRPr="0050036F">
        <w:rPr>
          <w:rFonts w:eastAsia="Calibri"/>
          <w:sz w:val="24"/>
          <w:szCs w:val="24"/>
          <w:lang w:eastAsia="en-US"/>
        </w:rPr>
        <w:t>Observou-se</w:t>
      </w:r>
      <w:r w:rsidR="00863408" w:rsidRPr="0050036F">
        <w:rPr>
          <w:rFonts w:eastAsia="Calibri"/>
          <w:sz w:val="24"/>
          <w:szCs w:val="24"/>
          <w:lang w:eastAsia="en-US"/>
        </w:rPr>
        <w:t xml:space="preserve"> na tabela</w:t>
      </w:r>
      <w:r w:rsidR="00E84F72" w:rsidRPr="0050036F">
        <w:rPr>
          <w:rFonts w:eastAsia="Calibri"/>
          <w:sz w:val="24"/>
          <w:szCs w:val="24"/>
          <w:lang w:eastAsia="en-US"/>
        </w:rPr>
        <w:t xml:space="preserve"> </w:t>
      </w:r>
      <w:r w:rsidR="002B67F9" w:rsidRPr="0050036F">
        <w:rPr>
          <w:rFonts w:eastAsia="Calibri"/>
          <w:sz w:val="24"/>
          <w:szCs w:val="24"/>
          <w:lang w:eastAsia="en-US"/>
        </w:rPr>
        <w:t>2</w:t>
      </w:r>
      <w:r w:rsidR="00863408" w:rsidRPr="0050036F">
        <w:rPr>
          <w:rFonts w:eastAsia="Calibri"/>
          <w:sz w:val="24"/>
          <w:szCs w:val="24"/>
          <w:lang w:eastAsia="en-US"/>
        </w:rPr>
        <w:t xml:space="preserve"> que tanto no período pré pandemia e no período da pandemia a maioria absoluta dos acidentes ocorreram em situações climáticas boas, com sol, durante o dia e com um leve a</w:t>
      </w:r>
      <w:r w:rsidRPr="0050036F">
        <w:rPr>
          <w:rFonts w:eastAsia="Calibri"/>
          <w:sz w:val="24"/>
          <w:szCs w:val="24"/>
          <w:lang w:eastAsia="en-US"/>
        </w:rPr>
        <w:t>umento aos finais de semana. A condição m</w:t>
      </w:r>
      <w:r w:rsidR="00863408" w:rsidRPr="0050036F">
        <w:rPr>
          <w:rFonts w:eastAsia="Calibri"/>
          <w:sz w:val="24"/>
          <w:szCs w:val="24"/>
          <w:lang w:eastAsia="en-US"/>
        </w:rPr>
        <w:t>eteorológic</w:t>
      </w:r>
      <w:r w:rsidR="00A47DAB" w:rsidRPr="0050036F">
        <w:rPr>
          <w:rFonts w:eastAsia="Calibri"/>
          <w:sz w:val="24"/>
          <w:szCs w:val="24"/>
          <w:lang w:eastAsia="en-US"/>
        </w:rPr>
        <w:t xml:space="preserve">a, </w:t>
      </w:r>
      <w:r w:rsidR="00863408" w:rsidRPr="0050036F">
        <w:rPr>
          <w:rFonts w:eastAsia="Calibri"/>
          <w:sz w:val="24"/>
          <w:szCs w:val="24"/>
          <w:lang w:eastAsia="en-US"/>
        </w:rPr>
        <w:t xml:space="preserve">67,9% dos acidentes no primeiro triênio </w:t>
      </w:r>
      <w:r w:rsidR="00B63534" w:rsidRPr="0050036F">
        <w:rPr>
          <w:rFonts w:eastAsia="Calibri"/>
          <w:sz w:val="24"/>
          <w:szCs w:val="24"/>
          <w:lang w:eastAsia="en-US"/>
        </w:rPr>
        <w:t>ocorreu</w:t>
      </w:r>
      <w:r w:rsidR="00863408" w:rsidRPr="0050036F">
        <w:rPr>
          <w:rFonts w:eastAsia="Calibri"/>
          <w:sz w:val="24"/>
          <w:szCs w:val="24"/>
          <w:lang w:eastAsia="en-US"/>
        </w:rPr>
        <w:t xml:space="preserve"> em dias de sol e esse número é maior ainda se observarmos o segundo triênios com 76,8% dos acidentes em dias ensolarados.</w:t>
      </w:r>
    </w:p>
    <w:p w:rsidR="00A47DAB" w:rsidRPr="0050036F" w:rsidRDefault="00A47DAB" w:rsidP="0050036F">
      <w:pPr>
        <w:spacing w:after="200" w:line="360" w:lineRule="auto"/>
        <w:ind w:firstLine="708"/>
        <w:jc w:val="both"/>
        <w:rPr>
          <w:rFonts w:eastAsia="Calibri"/>
          <w:sz w:val="24"/>
          <w:szCs w:val="24"/>
          <w:lang w:eastAsia="en-US"/>
        </w:rPr>
      </w:pPr>
      <w:r w:rsidRPr="0050036F">
        <w:rPr>
          <w:rFonts w:eastAsia="Calibri"/>
          <w:sz w:val="24"/>
          <w:szCs w:val="24"/>
          <w:lang w:eastAsia="en-US"/>
        </w:rPr>
        <w:t xml:space="preserve">Em relação </w:t>
      </w:r>
      <w:r w:rsidR="002B67F9" w:rsidRPr="0050036F">
        <w:rPr>
          <w:rFonts w:eastAsia="Calibri"/>
          <w:sz w:val="24"/>
          <w:szCs w:val="24"/>
          <w:lang w:eastAsia="en-US"/>
        </w:rPr>
        <w:t>à</w:t>
      </w:r>
      <w:r w:rsidRPr="0050036F">
        <w:rPr>
          <w:rFonts w:eastAsia="Calibri"/>
          <w:sz w:val="24"/>
          <w:szCs w:val="24"/>
          <w:lang w:eastAsia="en-US"/>
        </w:rPr>
        <w:t xml:space="preserve"> diminuição de acidentes referente ao tipo de pista observamos a diminuição considerável no período da pandemia, essa diminuição significativa esta ligada diretamente a duplicação da BR </w:t>
      </w:r>
      <w:r w:rsidR="009957FE" w:rsidRPr="0050036F">
        <w:rPr>
          <w:rFonts w:eastAsia="Calibri"/>
          <w:sz w:val="24"/>
          <w:szCs w:val="24"/>
          <w:lang w:eastAsia="en-US"/>
        </w:rPr>
        <w:t>3</w:t>
      </w:r>
      <w:r w:rsidR="00F36E21" w:rsidRPr="0050036F">
        <w:rPr>
          <w:rFonts w:eastAsia="Calibri"/>
          <w:sz w:val="24"/>
          <w:szCs w:val="24"/>
          <w:lang w:eastAsia="en-US"/>
        </w:rPr>
        <w:t>76, observa-se uma diminuição na porcentagem de acidentes no primeiro triênio de 67,9% dos acidentes em pista simples e 32,4%, no segundo triênio com a pandemia e a duplicação os acidentes em pista simples despencaram para 55,2%</w:t>
      </w:r>
      <w:r w:rsidR="00380F9A" w:rsidRPr="0050036F">
        <w:rPr>
          <w:rFonts w:eastAsia="Calibri"/>
          <w:sz w:val="24"/>
          <w:szCs w:val="24"/>
          <w:lang w:eastAsia="en-US"/>
        </w:rPr>
        <w:t xml:space="preserve"> e em pista dupla aumentou para 44,8%, este número está relacionado com a diminuição da pista simples e o aumento da pista dupla em 56 km. </w:t>
      </w:r>
    </w:p>
    <w:p w:rsidR="00A47DAB" w:rsidRPr="0050036F" w:rsidRDefault="00380F9A" w:rsidP="0050036F">
      <w:pPr>
        <w:spacing w:after="200" w:line="360" w:lineRule="auto"/>
        <w:ind w:firstLine="708"/>
        <w:jc w:val="both"/>
        <w:rPr>
          <w:rFonts w:eastAsia="Calibri"/>
          <w:sz w:val="24"/>
          <w:szCs w:val="24"/>
          <w:lang w:eastAsia="en-US"/>
        </w:rPr>
      </w:pPr>
      <w:r w:rsidRPr="0050036F">
        <w:rPr>
          <w:rFonts w:eastAsia="Calibri"/>
          <w:sz w:val="24"/>
          <w:szCs w:val="24"/>
          <w:lang w:eastAsia="en-US"/>
        </w:rPr>
        <w:t>A característica ambiental dos AT apontou</w:t>
      </w:r>
      <w:r w:rsidR="00863408" w:rsidRPr="0050036F">
        <w:rPr>
          <w:rFonts w:eastAsia="Calibri"/>
          <w:sz w:val="24"/>
          <w:szCs w:val="24"/>
          <w:lang w:eastAsia="en-US"/>
        </w:rPr>
        <w:t xml:space="preserve"> maior incidência aos fins de semana</w:t>
      </w:r>
      <w:r w:rsidRPr="0050036F">
        <w:rPr>
          <w:rFonts w:eastAsia="Calibri"/>
          <w:sz w:val="24"/>
          <w:szCs w:val="24"/>
          <w:lang w:eastAsia="en-US"/>
        </w:rPr>
        <w:t>,</w:t>
      </w:r>
      <w:r w:rsidR="00863408" w:rsidRPr="0050036F">
        <w:rPr>
          <w:rFonts w:eastAsia="Calibri"/>
          <w:sz w:val="24"/>
          <w:szCs w:val="24"/>
          <w:lang w:eastAsia="en-US"/>
        </w:rPr>
        <w:t xml:space="preserve"> no p</w:t>
      </w:r>
      <w:r w:rsidRPr="0050036F">
        <w:rPr>
          <w:rFonts w:eastAsia="Calibri"/>
          <w:sz w:val="24"/>
          <w:szCs w:val="24"/>
          <w:lang w:eastAsia="en-US"/>
        </w:rPr>
        <w:t xml:space="preserve">eríodo que antecede a pandemia </w:t>
      </w:r>
      <w:r w:rsidR="00863408" w:rsidRPr="0050036F">
        <w:rPr>
          <w:rFonts w:eastAsia="Calibri"/>
          <w:sz w:val="24"/>
          <w:szCs w:val="24"/>
          <w:lang w:eastAsia="en-US"/>
        </w:rPr>
        <w:t>os sábados com 18</w:t>
      </w:r>
      <w:r w:rsidR="004B50B4" w:rsidRPr="0050036F">
        <w:rPr>
          <w:rFonts w:eastAsia="Calibri"/>
          <w:sz w:val="24"/>
          <w:szCs w:val="24"/>
          <w:lang w:eastAsia="en-US"/>
        </w:rPr>
        <w:t>,</w:t>
      </w:r>
      <w:r w:rsidR="00863408" w:rsidRPr="0050036F">
        <w:rPr>
          <w:rFonts w:eastAsia="Calibri"/>
          <w:sz w:val="24"/>
          <w:szCs w:val="24"/>
          <w:lang w:eastAsia="en-US"/>
        </w:rPr>
        <w:t xml:space="preserve">3% dos sinistros e durante os anos </w:t>
      </w:r>
      <w:r w:rsidRPr="0050036F">
        <w:rPr>
          <w:rFonts w:eastAsia="Calibri"/>
          <w:sz w:val="24"/>
          <w:szCs w:val="24"/>
          <w:lang w:eastAsia="en-US"/>
        </w:rPr>
        <w:t>de pandemia a maior incidência foi</w:t>
      </w:r>
      <w:r w:rsidR="00863408" w:rsidRPr="0050036F">
        <w:rPr>
          <w:rFonts w:eastAsia="Calibri"/>
          <w:sz w:val="24"/>
          <w:szCs w:val="24"/>
          <w:lang w:eastAsia="en-US"/>
        </w:rPr>
        <w:t xml:space="preserve"> na sexta</w:t>
      </w:r>
      <w:r w:rsidR="004B50B4" w:rsidRPr="0050036F">
        <w:rPr>
          <w:rFonts w:eastAsia="Calibri"/>
          <w:sz w:val="24"/>
          <w:szCs w:val="24"/>
          <w:lang w:eastAsia="en-US"/>
        </w:rPr>
        <w:t>-feira</w:t>
      </w:r>
      <w:r w:rsidR="00863408" w:rsidRPr="0050036F">
        <w:rPr>
          <w:rFonts w:eastAsia="Calibri"/>
          <w:sz w:val="24"/>
          <w:szCs w:val="24"/>
          <w:lang w:eastAsia="en-US"/>
        </w:rPr>
        <w:t xml:space="preserve"> com 19,2%, é possível observar outras oscilações na tabela</w:t>
      </w:r>
      <w:r w:rsidR="004B50B4" w:rsidRPr="0050036F">
        <w:rPr>
          <w:rFonts w:eastAsia="Calibri"/>
          <w:sz w:val="24"/>
          <w:szCs w:val="24"/>
          <w:lang w:eastAsia="en-US"/>
        </w:rPr>
        <w:t xml:space="preserve"> 2</w:t>
      </w:r>
      <w:r w:rsidR="00863408" w:rsidRPr="0050036F">
        <w:rPr>
          <w:rFonts w:eastAsia="Calibri"/>
          <w:sz w:val="24"/>
          <w:szCs w:val="24"/>
          <w:lang w:eastAsia="en-US"/>
        </w:rPr>
        <w:t>, entretanto mantiveram-se dentro do esperado nas comparações dos dois períodos.</w:t>
      </w:r>
    </w:p>
    <w:p w:rsidR="00532D44" w:rsidRPr="0050036F" w:rsidRDefault="00863408" w:rsidP="0050036F">
      <w:pPr>
        <w:spacing w:after="200" w:line="360" w:lineRule="auto"/>
        <w:jc w:val="both"/>
        <w:rPr>
          <w:rFonts w:eastAsia="Calibri"/>
          <w:sz w:val="24"/>
          <w:szCs w:val="24"/>
          <w:lang w:eastAsia="en-US"/>
        </w:rPr>
      </w:pPr>
      <w:r w:rsidRPr="0050036F">
        <w:rPr>
          <w:rFonts w:eastAsia="Calibri"/>
          <w:sz w:val="24"/>
          <w:szCs w:val="24"/>
          <w:lang w:eastAsia="en-US"/>
        </w:rPr>
        <w:t xml:space="preserve">Tabela </w:t>
      </w:r>
      <w:r w:rsidR="004B50B4" w:rsidRPr="0050036F">
        <w:rPr>
          <w:rFonts w:eastAsia="Calibri"/>
          <w:sz w:val="24"/>
          <w:szCs w:val="24"/>
          <w:lang w:eastAsia="en-US"/>
        </w:rPr>
        <w:t>3</w:t>
      </w:r>
      <w:r w:rsidRPr="0050036F">
        <w:rPr>
          <w:rFonts w:eastAsia="Calibri"/>
          <w:sz w:val="24"/>
          <w:szCs w:val="24"/>
          <w:lang w:eastAsia="en-US"/>
        </w:rPr>
        <w:t xml:space="preserve">: </w:t>
      </w:r>
      <w:r w:rsidR="00FC480C" w:rsidRPr="0050036F">
        <w:rPr>
          <w:rFonts w:eastAsia="Calibri"/>
          <w:sz w:val="24"/>
          <w:szCs w:val="24"/>
          <w:lang w:eastAsia="en-US"/>
        </w:rPr>
        <w:t>Aspectos</w:t>
      </w:r>
      <w:r w:rsidR="009D4F96" w:rsidRPr="0050036F">
        <w:rPr>
          <w:rFonts w:eastAsia="Calibri"/>
          <w:sz w:val="24"/>
          <w:szCs w:val="24"/>
          <w:lang w:eastAsia="en-US"/>
        </w:rPr>
        <w:t xml:space="preserve"> </w:t>
      </w:r>
      <w:r w:rsidR="009957FE" w:rsidRPr="0050036F">
        <w:rPr>
          <w:rFonts w:eastAsia="Calibri"/>
          <w:sz w:val="24"/>
          <w:szCs w:val="24"/>
          <w:lang w:eastAsia="en-US"/>
        </w:rPr>
        <w:t>sócio</w:t>
      </w:r>
      <w:r w:rsidR="00B63534">
        <w:rPr>
          <w:rFonts w:eastAsia="Calibri"/>
          <w:sz w:val="24"/>
          <w:szCs w:val="24"/>
          <w:lang w:eastAsia="en-US"/>
        </w:rPr>
        <w:t>/</w:t>
      </w:r>
      <w:r w:rsidR="009957FE" w:rsidRPr="0050036F">
        <w:rPr>
          <w:rFonts w:eastAsia="Calibri"/>
          <w:sz w:val="24"/>
          <w:szCs w:val="24"/>
          <w:lang w:eastAsia="en-US"/>
        </w:rPr>
        <w:t>demográficos dos acide</w:t>
      </w:r>
      <w:r w:rsidR="00380F9A" w:rsidRPr="0050036F">
        <w:rPr>
          <w:rFonts w:eastAsia="Calibri"/>
          <w:sz w:val="24"/>
          <w:szCs w:val="24"/>
          <w:lang w:eastAsia="en-US"/>
        </w:rPr>
        <w:t>ntes de trânsito série histórica</w:t>
      </w:r>
      <w:r w:rsidR="009957FE" w:rsidRPr="0050036F">
        <w:rPr>
          <w:rFonts w:eastAsia="Calibri"/>
          <w:sz w:val="24"/>
          <w:szCs w:val="24"/>
          <w:lang w:eastAsia="en-US"/>
        </w:rPr>
        <w:t xml:space="preserve"> na perspectiva de comparação</w:t>
      </w:r>
      <w:r w:rsidR="009D4F96" w:rsidRPr="0050036F">
        <w:rPr>
          <w:rFonts w:eastAsia="Calibri"/>
          <w:sz w:val="24"/>
          <w:szCs w:val="24"/>
          <w:lang w:eastAsia="en-US"/>
        </w:rPr>
        <w:t xml:space="preserve"> com o triênio antes </w:t>
      </w:r>
      <w:r w:rsidR="00380F9A" w:rsidRPr="0050036F">
        <w:rPr>
          <w:rFonts w:eastAsia="Calibri"/>
          <w:sz w:val="24"/>
          <w:szCs w:val="24"/>
          <w:lang w:eastAsia="en-US"/>
        </w:rPr>
        <w:t>d</w:t>
      </w:r>
      <w:r w:rsidR="009D4F96" w:rsidRPr="0050036F">
        <w:rPr>
          <w:rFonts w:eastAsia="Calibri"/>
          <w:sz w:val="24"/>
          <w:szCs w:val="24"/>
          <w:lang w:eastAsia="en-US"/>
        </w:rPr>
        <w:t>a pandemia (2017 a 2019) e o triênio do período pandêmico (2020 a 2022).</w:t>
      </w:r>
    </w:p>
    <w:tbl>
      <w:tblPr>
        <w:tblW w:w="5000" w:type="pct"/>
        <w:tblCellMar>
          <w:left w:w="70" w:type="dxa"/>
          <w:right w:w="70" w:type="dxa"/>
        </w:tblCellMar>
        <w:tblLook w:val="04A0" w:firstRow="1" w:lastRow="0" w:firstColumn="1" w:lastColumn="0" w:noHBand="0" w:noVBand="1"/>
      </w:tblPr>
      <w:tblGrid>
        <w:gridCol w:w="2446"/>
        <w:gridCol w:w="1133"/>
        <w:gridCol w:w="1134"/>
        <w:gridCol w:w="2230"/>
        <w:gridCol w:w="1134"/>
        <w:gridCol w:w="1134"/>
      </w:tblGrid>
      <w:tr w:rsidR="00532D44" w:rsidRPr="0050036F" w:rsidTr="00FC480C">
        <w:trPr>
          <w:trHeight w:val="300"/>
        </w:trPr>
        <w:tc>
          <w:tcPr>
            <w:tcW w:w="1230" w:type="pct"/>
            <w:tcBorders>
              <w:top w:val="single" w:sz="4" w:space="0" w:color="auto"/>
              <w:left w:val="nil"/>
              <w:bottom w:val="single" w:sz="4" w:space="0" w:color="auto"/>
              <w:right w:val="nil"/>
            </w:tcBorders>
            <w:shd w:val="clear" w:color="auto" w:fill="auto"/>
            <w:noWrap/>
            <w:vAlign w:val="bottom"/>
            <w:hideMark/>
          </w:tcPr>
          <w:p w:rsidR="00532D44" w:rsidRPr="0050036F" w:rsidRDefault="009D4F96" w:rsidP="0050036F">
            <w:pPr>
              <w:spacing w:line="360" w:lineRule="auto"/>
              <w:rPr>
                <w:color w:val="000000"/>
                <w:sz w:val="24"/>
                <w:szCs w:val="24"/>
              </w:rPr>
            </w:pPr>
            <w:r w:rsidRPr="0050036F">
              <w:rPr>
                <w:color w:val="000000"/>
                <w:sz w:val="24"/>
                <w:szCs w:val="24"/>
              </w:rPr>
              <w:t>Variáveis Pré Pandemia</w:t>
            </w:r>
          </w:p>
        </w:tc>
        <w:tc>
          <w:tcPr>
            <w:tcW w:w="635" w:type="pct"/>
            <w:tcBorders>
              <w:top w:val="single" w:sz="4" w:space="0" w:color="auto"/>
              <w:left w:val="nil"/>
              <w:bottom w:val="single" w:sz="4" w:space="0" w:color="auto"/>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N</w:t>
            </w:r>
          </w:p>
        </w:tc>
        <w:tc>
          <w:tcPr>
            <w:tcW w:w="635" w:type="pct"/>
            <w:tcBorders>
              <w:top w:val="single" w:sz="4" w:space="0" w:color="auto"/>
              <w:left w:val="nil"/>
              <w:bottom w:val="single" w:sz="4" w:space="0" w:color="auto"/>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w:t>
            </w:r>
          </w:p>
        </w:tc>
        <w:tc>
          <w:tcPr>
            <w:tcW w:w="1230" w:type="pct"/>
            <w:tcBorders>
              <w:top w:val="single" w:sz="4" w:space="0" w:color="auto"/>
              <w:left w:val="nil"/>
              <w:bottom w:val="single" w:sz="4" w:space="0" w:color="auto"/>
              <w:right w:val="nil"/>
            </w:tcBorders>
            <w:shd w:val="clear" w:color="auto" w:fill="auto"/>
            <w:noWrap/>
            <w:vAlign w:val="bottom"/>
            <w:hideMark/>
          </w:tcPr>
          <w:p w:rsidR="00532D44" w:rsidRPr="0050036F" w:rsidRDefault="009D4F96" w:rsidP="0050036F">
            <w:pPr>
              <w:spacing w:line="360" w:lineRule="auto"/>
              <w:rPr>
                <w:color w:val="000000"/>
                <w:sz w:val="24"/>
                <w:szCs w:val="24"/>
              </w:rPr>
            </w:pPr>
            <w:r w:rsidRPr="0050036F">
              <w:rPr>
                <w:color w:val="000000"/>
                <w:sz w:val="24"/>
                <w:szCs w:val="24"/>
              </w:rPr>
              <w:t xml:space="preserve">Variáreis Pandemia </w:t>
            </w:r>
          </w:p>
        </w:tc>
        <w:tc>
          <w:tcPr>
            <w:tcW w:w="635" w:type="pct"/>
            <w:tcBorders>
              <w:top w:val="single" w:sz="4" w:space="0" w:color="auto"/>
              <w:left w:val="nil"/>
              <w:bottom w:val="single" w:sz="4" w:space="0" w:color="auto"/>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N</w:t>
            </w:r>
          </w:p>
        </w:tc>
        <w:tc>
          <w:tcPr>
            <w:tcW w:w="635" w:type="pct"/>
            <w:tcBorders>
              <w:top w:val="single" w:sz="4" w:space="0" w:color="auto"/>
              <w:left w:val="nil"/>
              <w:bottom w:val="single" w:sz="4" w:space="0" w:color="auto"/>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w:t>
            </w:r>
          </w:p>
        </w:tc>
      </w:tr>
      <w:tr w:rsidR="00532D44" w:rsidRPr="0050036F" w:rsidTr="00FC480C">
        <w:trPr>
          <w:trHeight w:val="300"/>
        </w:trPr>
        <w:tc>
          <w:tcPr>
            <w:tcW w:w="1230"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b/>
                <w:bCs/>
                <w:color w:val="000000"/>
                <w:sz w:val="24"/>
                <w:szCs w:val="24"/>
              </w:rPr>
            </w:pPr>
            <w:r w:rsidRPr="0050036F">
              <w:rPr>
                <w:b/>
                <w:bCs/>
                <w:color w:val="000000"/>
                <w:sz w:val="24"/>
                <w:szCs w:val="24"/>
              </w:rPr>
              <w:t>Tipo de Envolvido</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p>
        </w:tc>
        <w:tc>
          <w:tcPr>
            <w:tcW w:w="1230"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b/>
                <w:bCs/>
                <w:color w:val="000000"/>
                <w:sz w:val="24"/>
                <w:szCs w:val="24"/>
              </w:rPr>
            </w:pPr>
            <w:r w:rsidRPr="0050036F">
              <w:rPr>
                <w:b/>
                <w:bCs/>
                <w:color w:val="000000"/>
                <w:sz w:val="24"/>
                <w:szCs w:val="24"/>
              </w:rPr>
              <w:t>Tipo de Envolvido</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p>
        </w:tc>
      </w:tr>
      <w:tr w:rsidR="00532D44" w:rsidRPr="0050036F" w:rsidTr="00FC480C">
        <w:trPr>
          <w:trHeight w:val="300"/>
        </w:trPr>
        <w:tc>
          <w:tcPr>
            <w:tcW w:w="1230"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Condutores</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461</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68,2%</w:t>
            </w:r>
          </w:p>
        </w:tc>
        <w:tc>
          <w:tcPr>
            <w:tcW w:w="1230"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Condutores</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326</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69,5%</w:t>
            </w:r>
          </w:p>
        </w:tc>
      </w:tr>
      <w:tr w:rsidR="00532D44" w:rsidRPr="0050036F" w:rsidTr="00FC480C">
        <w:trPr>
          <w:trHeight w:val="300"/>
        </w:trPr>
        <w:tc>
          <w:tcPr>
            <w:tcW w:w="1230"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 xml:space="preserve">Passageiro </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189</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28,0%</w:t>
            </w:r>
          </w:p>
        </w:tc>
        <w:tc>
          <w:tcPr>
            <w:tcW w:w="1230"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 xml:space="preserve">Passageiro </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132</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28,1%</w:t>
            </w:r>
          </w:p>
        </w:tc>
      </w:tr>
      <w:tr w:rsidR="00532D44" w:rsidRPr="0050036F" w:rsidTr="00FC480C">
        <w:trPr>
          <w:trHeight w:val="300"/>
        </w:trPr>
        <w:tc>
          <w:tcPr>
            <w:tcW w:w="1230"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lastRenderedPageBreak/>
              <w:t>Pedestre</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8</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1,2%</w:t>
            </w:r>
          </w:p>
        </w:tc>
        <w:tc>
          <w:tcPr>
            <w:tcW w:w="1230"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Pedestre</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7</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1,5%</w:t>
            </w:r>
          </w:p>
        </w:tc>
      </w:tr>
      <w:tr w:rsidR="00532D44" w:rsidRPr="0050036F" w:rsidTr="00FC480C">
        <w:trPr>
          <w:trHeight w:val="300"/>
        </w:trPr>
        <w:tc>
          <w:tcPr>
            <w:tcW w:w="1230"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Testemunha</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18</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2,7%</w:t>
            </w:r>
          </w:p>
        </w:tc>
        <w:tc>
          <w:tcPr>
            <w:tcW w:w="1230"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Testemunha</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4</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0,9%</w:t>
            </w:r>
          </w:p>
        </w:tc>
      </w:tr>
      <w:tr w:rsidR="00532D44" w:rsidRPr="0050036F" w:rsidTr="00FC480C">
        <w:trPr>
          <w:trHeight w:val="300"/>
        </w:trPr>
        <w:tc>
          <w:tcPr>
            <w:tcW w:w="1230" w:type="pct"/>
            <w:tcBorders>
              <w:top w:val="nil"/>
              <w:left w:val="nil"/>
              <w:bottom w:val="nil"/>
              <w:right w:val="nil"/>
            </w:tcBorders>
            <w:shd w:val="clear" w:color="auto" w:fill="auto"/>
            <w:noWrap/>
            <w:vAlign w:val="bottom"/>
            <w:hideMark/>
          </w:tcPr>
          <w:p w:rsidR="00532D44" w:rsidRPr="0050036F" w:rsidRDefault="00380F9A" w:rsidP="0050036F">
            <w:pPr>
              <w:spacing w:line="360" w:lineRule="auto"/>
              <w:rPr>
                <w:sz w:val="24"/>
                <w:szCs w:val="24"/>
              </w:rPr>
            </w:pPr>
            <w:r w:rsidRPr="0050036F">
              <w:rPr>
                <w:sz w:val="24"/>
                <w:szCs w:val="24"/>
              </w:rPr>
              <w:t>T</w:t>
            </w:r>
            <w:r w:rsidR="00532D44" w:rsidRPr="0050036F">
              <w:rPr>
                <w:sz w:val="24"/>
                <w:szCs w:val="24"/>
              </w:rPr>
              <w:t xml:space="preserve">otal </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676</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100,0%</w:t>
            </w:r>
          </w:p>
        </w:tc>
        <w:tc>
          <w:tcPr>
            <w:tcW w:w="1230" w:type="pct"/>
            <w:tcBorders>
              <w:top w:val="nil"/>
              <w:left w:val="nil"/>
              <w:bottom w:val="nil"/>
              <w:right w:val="nil"/>
            </w:tcBorders>
            <w:shd w:val="clear" w:color="auto" w:fill="auto"/>
            <w:noWrap/>
            <w:vAlign w:val="bottom"/>
            <w:hideMark/>
          </w:tcPr>
          <w:p w:rsidR="00532D44" w:rsidRPr="0050036F" w:rsidRDefault="00380F9A" w:rsidP="0050036F">
            <w:pPr>
              <w:spacing w:line="360" w:lineRule="auto"/>
              <w:rPr>
                <w:color w:val="000000"/>
                <w:sz w:val="24"/>
                <w:szCs w:val="24"/>
              </w:rPr>
            </w:pPr>
            <w:r w:rsidRPr="0050036F">
              <w:rPr>
                <w:color w:val="000000"/>
                <w:sz w:val="24"/>
                <w:szCs w:val="24"/>
              </w:rPr>
              <w:t>T</w:t>
            </w:r>
            <w:r w:rsidR="00532D44" w:rsidRPr="0050036F">
              <w:rPr>
                <w:color w:val="000000"/>
                <w:sz w:val="24"/>
                <w:szCs w:val="24"/>
              </w:rPr>
              <w:t xml:space="preserve">otal </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469</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100,0%</w:t>
            </w:r>
          </w:p>
        </w:tc>
      </w:tr>
      <w:tr w:rsidR="00532D44" w:rsidRPr="0050036F" w:rsidTr="00FC480C">
        <w:trPr>
          <w:trHeight w:val="300"/>
        </w:trPr>
        <w:tc>
          <w:tcPr>
            <w:tcW w:w="1230"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b/>
                <w:bCs/>
                <w:color w:val="000000"/>
                <w:sz w:val="24"/>
                <w:szCs w:val="24"/>
              </w:rPr>
            </w:pPr>
            <w:r w:rsidRPr="0050036F">
              <w:rPr>
                <w:b/>
                <w:bCs/>
                <w:color w:val="000000"/>
                <w:sz w:val="24"/>
                <w:szCs w:val="24"/>
              </w:rPr>
              <w:t xml:space="preserve">Estado </w:t>
            </w:r>
            <w:r w:rsidR="009D4F96" w:rsidRPr="0050036F">
              <w:rPr>
                <w:b/>
                <w:bCs/>
                <w:color w:val="000000"/>
                <w:sz w:val="24"/>
                <w:szCs w:val="24"/>
              </w:rPr>
              <w:t>Físico</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p>
        </w:tc>
        <w:tc>
          <w:tcPr>
            <w:tcW w:w="1230"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b/>
                <w:bCs/>
                <w:color w:val="000000"/>
                <w:sz w:val="24"/>
                <w:szCs w:val="24"/>
              </w:rPr>
            </w:pPr>
            <w:r w:rsidRPr="0050036F">
              <w:rPr>
                <w:b/>
                <w:bCs/>
                <w:color w:val="000000"/>
                <w:sz w:val="24"/>
                <w:szCs w:val="24"/>
              </w:rPr>
              <w:t xml:space="preserve">Estado </w:t>
            </w:r>
            <w:r w:rsidR="009D4F96" w:rsidRPr="0050036F">
              <w:rPr>
                <w:b/>
                <w:bCs/>
                <w:color w:val="000000"/>
                <w:sz w:val="24"/>
                <w:szCs w:val="24"/>
              </w:rPr>
              <w:t>Físico</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p>
        </w:tc>
      </w:tr>
      <w:tr w:rsidR="00532D44" w:rsidRPr="0050036F" w:rsidTr="00FC480C">
        <w:trPr>
          <w:trHeight w:val="300"/>
        </w:trPr>
        <w:tc>
          <w:tcPr>
            <w:tcW w:w="1230"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sz w:val="24"/>
                <w:szCs w:val="24"/>
              </w:rPr>
            </w:pPr>
            <w:r w:rsidRPr="0050036F">
              <w:rPr>
                <w:sz w:val="24"/>
                <w:szCs w:val="24"/>
              </w:rPr>
              <w:t>Ilesos</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sz w:val="24"/>
                <w:szCs w:val="24"/>
              </w:rPr>
            </w:pPr>
            <w:r w:rsidRPr="0050036F">
              <w:rPr>
                <w:sz w:val="24"/>
                <w:szCs w:val="24"/>
              </w:rPr>
              <w:t>268</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sz w:val="24"/>
                <w:szCs w:val="24"/>
              </w:rPr>
            </w:pPr>
            <w:r w:rsidRPr="0050036F">
              <w:rPr>
                <w:sz w:val="24"/>
                <w:szCs w:val="24"/>
              </w:rPr>
              <w:t>39,6%</w:t>
            </w:r>
          </w:p>
        </w:tc>
        <w:tc>
          <w:tcPr>
            <w:tcW w:w="1230"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sz w:val="24"/>
                <w:szCs w:val="24"/>
              </w:rPr>
            </w:pPr>
            <w:r w:rsidRPr="0050036F">
              <w:rPr>
                <w:sz w:val="24"/>
                <w:szCs w:val="24"/>
              </w:rPr>
              <w:t>Ilesos</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sz w:val="24"/>
                <w:szCs w:val="24"/>
              </w:rPr>
            </w:pPr>
            <w:r w:rsidRPr="0050036F">
              <w:rPr>
                <w:sz w:val="24"/>
                <w:szCs w:val="24"/>
              </w:rPr>
              <w:t>164</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sz w:val="24"/>
                <w:szCs w:val="24"/>
              </w:rPr>
            </w:pPr>
            <w:r w:rsidRPr="0050036F">
              <w:rPr>
                <w:sz w:val="24"/>
                <w:szCs w:val="24"/>
              </w:rPr>
              <w:t>35,0%</w:t>
            </w:r>
          </w:p>
        </w:tc>
      </w:tr>
      <w:tr w:rsidR="00532D44" w:rsidRPr="0050036F" w:rsidTr="00FC480C">
        <w:trPr>
          <w:trHeight w:val="300"/>
        </w:trPr>
        <w:tc>
          <w:tcPr>
            <w:tcW w:w="1230"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sz w:val="24"/>
                <w:szCs w:val="24"/>
              </w:rPr>
            </w:pPr>
            <w:r w:rsidRPr="0050036F">
              <w:rPr>
                <w:sz w:val="24"/>
                <w:szCs w:val="24"/>
              </w:rPr>
              <w:t>Feridos Leves</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sz w:val="24"/>
                <w:szCs w:val="24"/>
              </w:rPr>
            </w:pPr>
            <w:r w:rsidRPr="0050036F">
              <w:rPr>
                <w:sz w:val="24"/>
                <w:szCs w:val="24"/>
              </w:rPr>
              <w:t>258</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sz w:val="24"/>
                <w:szCs w:val="24"/>
              </w:rPr>
            </w:pPr>
            <w:r w:rsidRPr="0050036F">
              <w:rPr>
                <w:sz w:val="24"/>
                <w:szCs w:val="24"/>
              </w:rPr>
              <w:t>38,2%</w:t>
            </w:r>
          </w:p>
        </w:tc>
        <w:tc>
          <w:tcPr>
            <w:tcW w:w="1230"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sz w:val="24"/>
                <w:szCs w:val="24"/>
              </w:rPr>
            </w:pPr>
            <w:r w:rsidRPr="0050036F">
              <w:rPr>
                <w:sz w:val="24"/>
                <w:szCs w:val="24"/>
              </w:rPr>
              <w:t>Feridos Leves</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sz w:val="24"/>
                <w:szCs w:val="24"/>
              </w:rPr>
            </w:pPr>
            <w:r w:rsidRPr="0050036F">
              <w:rPr>
                <w:sz w:val="24"/>
                <w:szCs w:val="24"/>
              </w:rPr>
              <w:t>194</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sz w:val="24"/>
                <w:szCs w:val="24"/>
              </w:rPr>
            </w:pPr>
            <w:r w:rsidRPr="0050036F">
              <w:rPr>
                <w:sz w:val="24"/>
                <w:szCs w:val="24"/>
              </w:rPr>
              <w:t>41,4%</w:t>
            </w:r>
          </w:p>
        </w:tc>
      </w:tr>
      <w:tr w:rsidR="00532D44" w:rsidRPr="0050036F" w:rsidTr="00FC480C">
        <w:trPr>
          <w:trHeight w:val="300"/>
        </w:trPr>
        <w:tc>
          <w:tcPr>
            <w:tcW w:w="1230"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sz w:val="24"/>
                <w:szCs w:val="24"/>
              </w:rPr>
            </w:pPr>
            <w:r w:rsidRPr="0050036F">
              <w:rPr>
                <w:sz w:val="24"/>
                <w:szCs w:val="24"/>
              </w:rPr>
              <w:t>Feridos Graves</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sz w:val="24"/>
                <w:szCs w:val="24"/>
              </w:rPr>
            </w:pPr>
            <w:r w:rsidRPr="0050036F">
              <w:rPr>
                <w:sz w:val="24"/>
                <w:szCs w:val="24"/>
              </w:rPr>
              <w:t>80</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sz w:val="24"/>
                <w:szCs w:val="24"/>
              </w:rPr>
            </w:pPr>
            <w:r w:rsidRPr="0050036F">
              <w:rPr>
                <w:sz w:val="24"/>
                <w:szCs w:val="24"/>
              </w:rPr>
              <w:t>11,8%</w:t>
            </w:r>
          </w:p>
        </w:tc>
        <w:tc>
          <w:tcPr>
            <w:tcW w:w="1230"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sz w:val="24"/>
                <w:szCs w:val="24"/>
              </w:rPr>
            </w:pPr>
            <w:r w:rsidRPr="0050036F">
              <w:rPr>
                <w:sz w:val="24"/>
                <w:szCs w:val="24"/>
              </w:rPr>
              <w:t>Feridos Graves</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sz w:val="24"/>
                <w:szCs w:val="24"/>
              </w:rPr>
            </w:pPr>
            <w:r w:rsidRPr="0050036F">
              <w:rPr>
                <w:sz w:val="24"/>
                <w:szCs w:val="24"/>
              </w:rPr>
              <w:t>61</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sz w:val="24"/>
                <w:szCs w:val="24"/>
              </w:rPr>
            </w:pPr>
            <w:r w:rsidRPr="0050036F">
              <w:rPr>
                <w:sz w:val="24"/>
                <w:szCs w:val="24"/>
              </w:rPr>
              <w:t>13,0%</w:t>
            </w:r>
          </w:p>
        </w:tc>
      </w:tr>
      <w:tr w:rsidR="00532D44" w:rsidRPr="0050036F" w:rsidTr="00FC480C">
        <w:trPr>
          <w:trHeight w:val="300"/>
        </w:trPr>
        <w:tc>
          <w:tcPr>
            <w:tcW w:w="1230"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sz w:val="24"/>
                <w:szCs w:val="24"/>
              </w:rPr>
            </w:pPr>
            <w:r w:rsidRPr="0050036F">
              <w:rPr>
                <w:sz w:val="24"/>
                <w:szCs w:val="24"/>
              </w:rPr>
              <w:t>Óbitos</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sz w:val="24"/>
                <w:szCs w:val="24"/>
              </w:rPr>
            </w:pPr>
            <w:r w:rsidRPr="0050036F">
              <w:rPr>
                <w:sz w:val="24"/>
                <w:szCs w:val="24"/>
              </w:rPr>
              <w:t>35</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sz w:val="24"/>
                <w:szCs w:val="24"/>
              </w:rPr>
            </w:pPr>
            <w:r w:rsidRPr="0050036F">
              <w:rPr>
                <w:sz w:val="24"/>
                <w:szCs w:val="24"/>
              </w:rPr>
              <w:t>5,2%</w:t>
            </w:r>
          </w:p>
        </w:tc>
        <w:tc>
          <w:tcPr>
            <w:tcW w:w="1230"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sz w:val="24"/>
                <w:szCs w:val="24"/>
              </w:rPr>
            </w:pPr>
            <w:r w:rsidRPr="0050036F">
              <w:rPr>
                <w:sz w:val="24"/>
                <w:szCs w:val="24"/>
              </w:rPr>
              <w:t>Óbitos</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sz w:val="24"/>
                <w:szCs w:val="24"/>
              </w:rPr>
            </w:pPr>
            <w:r w:rsidRPr="0050036F">
              <w:rPr>
                <w:sz w:val="24"/>
                <w:szCs w:val="24"/>
              </w:rPr>
              <w:t>29</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sz w:val="24"/>
                <w:szCs w:val="24"/>
              </w:rPr>
            </w:pPr>
            <w:r w:rsidRPr="0050036F">
              <w:rPr>
                <w:sz w:val="24"/>
                <w:szCs w:val="24"/>
              </w:rPr>
              <w:t>6,2%</w:t>
            </w:r>
          </w:p>
        </w:tc>
      </w:tr>
      <w:tr w:rsidR="00532D44" w:rsidRPr="0050036F" w:rsidTr="00FC480C">
        <w:trPr>
          <w:trHeight w:val="300"/>
        </w:trPr>
        <w:tc>
          <w:tcPr>
            <w:tcW w:w="1230"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sz w:val="24"/>
                <w:szCs w:val="24"/>
              </w:rPr>
            </w:pPr>
            <w:r w:rsidRPr="0050036F">
              <w:rPr>
                <w:sz w:val="24"/>
                <w:szCs w:val="24"/>
              </w:rPr>
              <w:t>Não Informado</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sz w:val="24"/>
                <w:szCs w:val="24"/>
              </w:rPr>
            </w:pPr>
            <w:r w:rsidRPr="0050036F">
              <w:rPr>
                <w:sz w:val="24"/>
                <w:szCs w:val="24"/>
              </w:rPr>
              <w:t>35</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sz w:val="24"/>
                <w:szCs w:val="24"/>
              </w:rPr>
            </w:pPr>
            <w:r w:rsidRPr="0050036F">
              <w:rPr>
                <w:sz w:val="24"/>
                <w:szCs w:val="24"/>
              </w:rPr>
              <w:t>5,2%</w:t>
            </w:r>
          </w:p>
        </w:tc>
        <w:tc>
          <w:tcPr>
            <w:tcW w:w="1230"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sz w:val="24"/>
                <w:szCs w:val="24"/>
              </w:rPr>
            </w:pPr>
            <w:r w:rsidRPr="0050036F">
              <w:rPr>
                <w:sz w:val="24"/>
                <w:szCs w:val="24"/>
              </w:rPr>
              <w:t>Não Informado</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sz w:val="24"/>
                <w:szCs w:val="24"/>
              </w:rPr>
            </w:pPr>
            <w:r w:rsidRPr="0050036F">
              <w:rPr>
                <w:sz w:val="24"/>
                <w:szCs w:val="24"/>
              </w:rPr>
              <w:t>21</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sz w:val="24"/>
                <w:szCs w:val="24"/>
              </w:rPr>
            </w:pPr>
            <w:r w:rsidRPr="0050036F">
              <w:rPr>
                <w:sz w:val="24"/>
                <w:szCs w:val="24"/>
              </w:rPr>
              <w:t>4,5%</w:t>
            </w:r>
          </w:p>
        </w:tc>
      </w:tr>
      <w:tr w:rsidR="00532D44" w:rsidRPr="0050036F" w:rsidTr="00FC480C">
        <w:trPr>
          <w:trHeight w:val="300"/>
        </w:trPr>
        <w:tc>
          <w:tcPr>
            <w:tcW w:w="1230" w:type="pct"/>
            <w:tcBorders>
              <w:top w:val="nil"/>
              <w:left w:val="nil"/>
              <w:bottom w:val="nil"/>
              <w:right w:val="nil"/>
            </w:tcBorders>
            <w:shd w:val="clear" w:color="auto" w:fill="auto"/>
            <w:noWrap/>
            <w:vAlign w:val="bottom"/>
            <w:hideMark/>
          </w:tcPr>
          <w:p w:rsidR="00532D44" w:rsidRPr="0050036F" w:rsidRDefault="00380F9A" w:rsidP="0050036F">
            <w:pPr>
              <w:spacing w:line="360" w:lineRule="auto"/>
              <w:rPr>
                <w:color w:val="000000"/>
                <w:sz w:val="24"/>
                <w:szCs w:val="24"/>
              </w:rPr>
            </w:pPr>
            <w:r w:rsidRPr="0050036F">
              <w:rPr>
                <w:color w:val="000000"/>
                <w:sz w:val="24"/>
                <w:szCs w:val="24"/>
              </w:rPr>
              <w:t>T</w:t>
            </w:r>
            <w:r w:rsidR="00532D44" w:rsidRPr="0050036F">
              <w:rPr>
                <w:color w:val="000000"/>
                <w:sz w:val="24"/>
                <w:szCs w:val="24"/>
              </w:rPr>
              <w:t xml:space="preserve">otal </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676</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100,0%</w:t>
            </w:r>
          </w:p>
        </w:tc>
        <w:tc>
          <w:tcPr>
            <w:tcW w:w="1230" w:type="pct"/>
            <w:tcBorders>
              <w:top w:val="nil"/>
              <w:left w:val="nil"/>
              <w:bottom w:val="nil"/>
              <w:right w:val="nil"/>
            </w:tcBorders>
            <w:shd w:val="clear" w:color="auto" w:fill="auto"/>
            <w:noWrap/>
            <w:vAlign w:val="bottom"/>
            <w:hideMark/>
          </w:tcPr>
          <w:p w:rsidR="00532D44" w:rsidRPr="0050036F" w:rsidRDefault="00380F9A" w:rsidP="0050036F">
            <w:pPr>
              <w:spacing w:line="360" w:lineRule="auto"/>
              <w:rPr>
                <w:color w:val="000000"/>
                <w:sz w:val="24"/>
                <w:szCs w:val="24"/>
              </w:rPr>
            </w:pPr>
            <w:r w:rsidRPr="0050036F">
              <w:rPr>
                <w:color w:val="000000"/>
                <w:sz w:val="24"/>
                <w:szCs w:val="24"/>
              </w:rPr>
              <w:t>T</w:t>
            </w:r>
            <w:r w:rsidR="00532D44" w:rsidRPr="0050036F">
              <w:rPr>
                <w:color w:val="000000"/>
                <w:sz w:val="24"/>
                <w:szCs w:val="24"/>
              </w:rPr>
              <w:t xml:space="preserve">otal </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469</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100,0%</w:t>
            </w:r>
          </w:p>
        </w:tc>
      </w:tr>
      <w:tr w:rsidR="00532D44" w:rsidRPr="0050036F" w:rsidTr="00FC480C">
        <w:trPr>
          <w:trHeight w:val="300"/>
        </w:trPr>
        <w:tc>
          <w:tcPr>
            <w:tcW w:w="1230" w:type="pct"/>
            <w:tcBorders>
              <w:top w:val="nil"/>
              <w:left w:val="nil"/>
              <w:bottom w:val="nil"/>
              <w:right w:val="nil"/>
            </w:tcBorders>
            <w:shd w:val="clear" w:color="auto" w:fill="auto"/>
            <w:noWrap/>
            <w:vAlign w:val="bottom"/>
            <w:hideMark/>
          </w:tcPr>
          <w:p w:rsidR="00532D44" w:rsidRPr="0050036F" w:rsidRDefault="009D4F96" w:rsidP="0050036F">
            <w:pPr>
              <w:spacing w:line="360" w:lineRule="auto"/>
              <w:rPr>
                <w:b/>
                <w:bCs/>
                <w:color w:val="000000"/>
                <w:sz w:val="24"/>
                <w:szCs w:val="24"/>
              </w:rPr>
            </w:pPr>
            <w:r w:rsidRPr="0050036F">
              <w:rPr>
                <w:b/>
                <w:bCs/>
                <w:color w:val="000000"/>
                <w:sz w:val="24"/>
                <w:szCs w:val="24"/>
              </w:rPr>
              <w:t>S</w:t>
            </w:r>
            <w:r w:rsidR="00532D44" w:rsidRPr="0050036F">
              <w:rPr>
                <w:b/>
                <w:bCs/>
                <w:color w:val="000000"/>
                <w:sz w:val="24"/>
                <w:szCs w:val="24"/>
              </w:rPr>
              <w:t>exo</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p>
        </w:tc>
        <w:tc>
          <w:tcPr>
            <w:tcW w:w="1230" w:type="pct"/>
            <w:tcBorders>
              <w:top w:val="nil"/>
              <w:left w:val="nil"/>
              <w:bottom w:val="nil"/>
              <w:right w:val="nil"/>
            </w:tcBorders>
            <w:shd w:val="clear" w:color="auto" w:fill="auto"/>
            <w:noWrap/>
            <w:vAlign w:val="bottom"/>
            <w:hideMark/>
          </w:tcPr>
          <w:p w:rsidR="00532D44" w:rsidRPr="0050036F" w:rsidRDefault="009D4F96" w:rsidP="0050036F">
            <w:pPr>
              <w:spacing w:line="360" w:lineRule="auto"/>
              <w:rPr>
                <w:b/>
                <w:bCs/>
                <w:color w:val="000000"/>
                <w:sz w:val="24"/>
                <w:szCs w:val="24"/>
              </w:rPr>
            </w:pPr>
            <w:r w:rsidRPr="0050036F">
              <w:rPr>
                <w:b/>
                <w:bCs/>
                <w:color w:val="000000"/>
                <w:sz w:val="24"/>
                <w:szCs w:val="24"/>
              </w:rPr>
              <w:t>S</w:t>
            </w:r>
            <w:r w:rsidR="00532D44" w:rsidRPr="0050036F">
              <w:rPr>
                <w:b/>
                <w:bCs/>
                <w:color w:val="000000"/>
                <w:sz w:val="24"/>
                <w:szCs w:val="24"/>
              </w:rPr>
              <w:t>exo</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p>
        </w:tc>
      </w:tr>
      <w:tr w:rsidR="00532D44" w:rsidRPr="0050036F" w:rsidTr="00FC480C">
        <w:trPr>
          <w:trHeight w:val="300"/>
        </w:trPr>
        <w:tc>
          <w:tcPr>
            <w:tcW w:w="1230"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Feminino</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169</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25,0%</w:t>
            </w:r>
          </w:p>
        </w:tc>
        <w:tc>
          <w:tcPr>
            <w:tcW w:w="1230"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Feminino</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110</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23,5%</w:t>
            </w:r>
          </w:p>
        </w:tc>
      </w:tr>
      <w:tr w:rsidR="00532D44" w:rsidRPr="0050036F" w:rsidTr="00FC480C">
        <w:trPr>
          <w:trHeight w:val="300"/>
        </w:trPr>
        <w:tc>
          <w:tcPr>
            <w:tcW w:w="1230"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Masculino</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470</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69,5%</w:t>
            </w:r>
          </w:p>
        </w:tc>
        <w:tc>
          <w:tcPr>
            <w:tcW w:w="1230"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Masculino</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337</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71,9%</w:t>
            </w:r>
          </w:p>
        </w:tc>
      </w:tr>
      <w:tr w:rsidR="00532D44" w:rsidRPr="0050036F" w:rsidTr="00FC480C">
        <w:trPr>
          <w:trHeight w:val="300"/>
        </w:trPr>
        <w:tc>
          <w:tcPr>
            <w:tcW w:w="1230"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Não Informado</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37</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5,5%</w:t>
            </w:r>
          </w:p>
        </w:tc>
        <w:tc>
          <w:tcPr>
            <w:tcW w:w="1230"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Não Informado</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22</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4,7%</w:t>
            </w:r>
          </w:p>
        </w:tc>
      </w:tr>
      <w:tr w:rsidR="00532D44" w:rsidRPr="0050036F" w:rsidTr="00FC480C">
        <w:trPr>
          <w:trHeight w:val="300"/>
        </w:trPr>
        <w:tc>
          <w:tcPr>
            <w:tcW w:w="1230" w:type="pct"/>
            <w:tcBorders>
              <w:top w:val="nil"/>
              <w:left w:val="nil"/>
              <w:bottom w:val="nil"/>
              <w:right w:val="nil"/>
            </w:tcBorders>
            <w:shd w:val="clear" w:color="auto" w:fill="auto"/>
            <w:noWrap/>
            <w:vAlign w:val="bottom"/>
            <w:hideMark/>
          </w:tcPr>
          <w:p w:rsidR="00532D44" w:rsidRPr="0050036F" w:rsidRDefault="00380F9A" w:rsidP="0050036F">
            <w:pPr>
              <w:spacing w:line="360" w:lineRule="auto"/>
              <w:rPr>
                <w:color w:val="000000"/>
                <w:sz w:val="24"/>
                <w:szCs w:val="24"/>
              </w:rPr>
            </w:pPr>
            <w:r w:rsidRPr="0050036F">
              <w:rPr>
                <w:color w:val="000000"/>
                <w:sz w:val="24"/>
                <w:szCs w:val="24"/>
              </w:rPr>
              <w:t>T</w:t>
            </w:r>
            <w:r w:rsidR="00532D44" w:rsidRPr="0050036F">
              <w:rPr>
                <w:color w:val="000000"/>
                <w:sz w:val="24"/>
                <w:szCs w:val="24"/>
              </w:rPr>
              <w:t xml:space="preserve">otal </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676</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100,0%</w:t>
            </w:r>
          </w:p>
        </w:tc>
        <w:tc>
          <w:tcPr>
            <w:tcW w:w="1230" w:type="pct"/>
            <w:tcBorders>
              <w:top w:val="nil"/>
              <w:left w:val="nil"/>
              <w:bottom w:val="nil"/>
              <w:right w:val="nil"/>
            </w:tcBorders>
            <w:shd w:val="clear" w:color="auto" w:fill="auto"/>
            <w:noWrap/>
            <w:vAlign w:val="bottom"/>
            <w:hideMark/>
          </w:tcPr>
          <w:p w:rsidR="00532D44" w:rsidRPr="0050036F" w:rsidRDefault="00380F9A" w:rsidP="0050036F">
            <w:pPr>
              <w:spacing w:line="360" w:lineRule="auto"/>
              <w:rPr>
                <w:color w:val="000000"/>
                <w:sz w:val="24"/>
                <w:szCs w:val="24"/>
              </w:rPr>
            </w:pPr>
            <w:r w:rsidRPr="0050036F">
              <w:rPr>
                <w:color w:val="000000"/>
                <w:sz w:val="24"/>
                <w:szCs w:val="24"/>
              </w:rPr>
              <w:t>T</w:t>
            </w:r>
            <w:r w:rsidR="00532D44" w:rsidRPr="0050036F">
              <w:rPr>
                <w:color w:val="000000"/>
                <w:sz w:val="24"/>
                <w:szCs w:val="24"/>
              </w:rPr>
              <w:t xml:space="preserve">otal </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469</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100,0%</w:t>
            </w:r>
          </w:p>
        </w:tc>
      </w:tr>
      <w:tr w:rsidR="00532D44" w:rsidRPr="0050036F" w:rsidTr="00FC480C">
        <w:trPr>
          <w:trHeight w:val="300"/>
        </w:trPr>
        <w:tc>
          <w:tcPr>
            <w:tcW w:w="1230"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b/>
                <w:bCs/>
                <w:color w:val="000000"/>
                <w:sz w:val="24"/>
                <w:szCs w:val="24"/>
              </w:rPr>
            </w:pPr>
            <w:r w:rsidRPr="0050036F">
              <w:rPr>
                <w:b/>
                <w:bCs/>
                <w:color w:val="000000"/>
                <w:sz w:val="24"/>
                <w:szCs w:val="24"/>
              </w:rPr>
              <w:t xml:space="preserve">Faixa </w:t>
            </w:r>
            <w:r w:rsidR="009D4F96" w:rsidRPr="0050036F">
              <w:rPr>
                <w:b/>
                <w:bCs/>
                <w:color w:val="000000"/>
                <w:sz w:val="24"/>
                <w:szCs w:val="24"/>
              </w:rPr>
              <w:t>Etária</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p>
        </w:tc>
        <w:tc>
          <w:tcPr>
            <w:tcW w:w="1230"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b/>
                <w:bCs/>
                <w:color w:val="000000"/>
                <w:sz w:val="24"/>
                <w:szCs w:val="24"/>
              </w:rPr>
            </w:pPr>
            <w:r w:rsidRPr="0050036F">
              <w:rPr>
                <w:b/>
                <w:bCs/>
                <w:color w:val="000000"/>
                <w:sz w:val="24"/>
                <w:szCs w:val="24"/>
              </w:rPr>
              <w:t xml:space="preserve">Faixa </w:t>
            </w:r>
            <w:r w:rsidR="009D4F96" w:rsidRPr="0050036F">
              <w:rPr>
                <w:b/>
                <w:bCs/>
                <w:color w:val="000000"/>
                <w:sz w:val="24"/>
                <w:szCs w:val="24"/>
              </w:rPr>
              <w:t>Etária</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p>
        </w:tc>
      </w:tr>
      <w:tr w:rsidR="00532D44" w:rsidRPr="0050036F" w:rsidTr="00FC480C">
        <w:trPr>
          <w:trHeight w:val="300"/>
        </w:trPr>
        <w:tc>
          <w:tcPr>
            <w:tcW w:w="1230" w:type="pct"/>
            <w:tcBorders>
              <w:top w:val="nil"/>
              <w:left w:val="nil"/>
              <w:bottom w:val="nil"/>
              <w:right w:val="nil"/>
            </w:tcBorders>
            <w:shd w:val="clear" w:color="auto" w:fill="auto"/>
            <w:noWrap/>
            <w:vAlign w:val="bottom"/>
            <w:hideMark/>
          </w:tcPr>
          <w:p w:rsidR="00532D44" w:rsidRPr="0050036F" w:rsidRDefault="00380F9A" w:rsidP="0050036F">
            <w:pPr>
              <w:spacing w:line="360" w:lineRule="auto"/>
              <w:rPr>
                <w:sz w:val="24"/>
                <w:szCs w:val="24"/>
              </w:rPr>
            </w:pPr>
            <w:r w:rsidRPr="0050036F">
              <w:rPr>
                <w:sz w:val="24"/>
                <w:szCs w:val="24"/>
              </w:rPr>
              <w:t>C</w:t>
            </w:r>
            <w:r w:rsidR="00532D44" w:rsidRPr="0050036F">
              <w:rPr>
                <w:sz w:val="24"/>
                <w:szCs w:val="24"/>
              </w:rPr>
              <w:t xml:space="preserve">riança </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17</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2,5%</w:t>
            </w:r>
          </w:p>
        </w:tc>
        <w:tc>
          <w:tcPr>
            <w:tcW w:w="1230" w:type="pct"/>
            <w:tcBorders>
              <w:top w:val="nil"/>
              <w:left w:val="nil"/>
              <w:bottom w:val="nil"/>
              <w:right w:val="nil"/>
            </w:tcBorders>
            <w:shd w:val="clear" w:color="auto" w:fill="auto"/>
            <w:noWrap/>
            <w:vAlign w:val="bottom"/>
            <w:hideMark/>
          </w:tcPr>
          <w:p w:rsidR="00532D44" w:rsidRPr="0050036F" w:rsidRDefault="00FC480C" w:rsidP="0050036F">
            <w:pPr>
              <w:spacing w:line="360" w:lineRule="auto"/>
              <w:rPr>
                <w:color w:val="000000"/>
                <w:sz w:val="24"/>
                <w:szCs w:val="24"/>
              </w:rPr>
            </w:pPr>
            <w:r w:rsidRPr="0050036F">
              <w:rPr>
                <w:color w:val="000000"/>
                <w:sz w:val="24"/>
                <w:szCs w:val="24"/>
              </w:rPr>
              <w:t>Criança</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12</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2,6%</w:t>
            </w:r>
          </w:p>
        </w:tc>
      </w:tr>
      <w:tr w:rsidR="00532D44" w:rsidRPr="0050036F" w:rsidTr="00FC480C">
        <w:trPr>
          <w:trHeight w:val="300"/>
        </w:trPr>
        <w:tc>
          <w:tcPr>
            <w:tcW w:w="1230" w:type="pct"/>
            <w:tcBorders>
              <w:top w:val="nil"/>
              <w:left w:val="nil"/>
              <w:bottom w:val="nil"/>
              <w:right w:val="nil"/>
            </w:tcBorders>
            <w:shd w:val="clear" w:color="auto" w:fill="auto"/>
            <w:noWrap/>
            <w:vAlign w:val="bottom"/>
            <w:hideMark/>
          </w:tcPr>
          <w:p w:rsidR="00532D44" w:rsidRPr="0050036F" w:rsidRDefault="00380F9A" w:rsidP="0050036F">
            <w:pPr>
              <w:spacing w:line="360" w:lineRule="auto"/>
              <w:rPr>
                <w:color w:val="000000"/>
                <w:sz w:val="24"/>
                <w:szCs w:val="24"/>
              </w:rPr>
            </w:pPr>
            <w:r w:rsidRPr="0050036F">
              <w:rPr>
                <w:color w:val="000000"/>
                <w:sz w:val="24"/>
                <w:szCs w:val="24"/>
              </w:rPr>
              <w:t>A</w:t>
            </w:r>
            <w:r w:rsidR="00532D44" w:rsidRPr="0050036F">
              <w:rPr>
                <w:color w:val="000000"/>
                <w:sz w:val="24"/>
                <w:szCs w:val="24"/>
              </w:rPr>
              <w:t>dolescente</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19</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2,8%</w:t>
            </w:r>
          </w:p>
        </w:tc>
        <w:tc>
          <w:tcPr>
            <w:tcW w:w="1230" w:type="pct"/>
            <w:tcBorders>
              <w:top w:val="nil"/>
              <w:left w:val="nil"/>
              <w:bottom w:val="nil"/>
              <w:right w:val="nil"/>
            </w:tcBorders>
            <w:shd w:val="clear" w:color="auto" w:fill="auto"/>
            <w:noWrap/>
            <w:vAlign w:val="bottom"/>
            <w:hideMark/>
          </w:tcPr>
          <w:p w:rsidR="00532D44" w:rsidRPr="0050036F" w:rsidRDefault="00380F9A" w:rsidP="0050036F">
            <w:pPr>
              <w:spacing w:line="360" w:lineRule="auto"/>
              <w:rPr>
                <w:color w:val="000000"/>
                <w:sz w:val="24"/>
                <w:szCs w:val="24"/>
              </w:rPr>
            </w:pPr>
            <w:r w:rsidRPr="0050036F">
              <w:rPr>
                <w:color w:val="000000"/>
                <w:sz w:val="24"/>
                <w:szCs w:val="24"/>
              </w:rPr>
              <w:t>A</w:t>
            </w:r>
            <w:r w:rsidR="00532D44" w:rsidRPr="0050036F">
              <w:rPr>
                <w:color w:val="000000"/>
                <w:sz w:val="24"/>
                <w:szCs w:val="24"/>
              </w:rPr>
              <w:t>dolescente</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7</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1,5%</w:t>
            </w:r>
          </w:p>
        </w:tc>
      </w:tr>
      <w:tr w:rsidR="00532D44" w:rsidRPr="0050036F" w:rsidTr="00FC480C">
        <w:trPr>
          <w:trHeight w:val="300"/>
        </w:trPr>
        <w:tc>
          <w:tcPr>
            <w:tcW w:w="1230"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Jovem</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166</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24,6%</w:t>
            </w:r>
          </w:p>
        </w:tc>
        <w:tc>
          <w:tcPr>
            <w:tcW w:w="1230" w:type="pct"/>
            <w:tcBorders>
              <w:top w:val="nil"/>
              <w:left w:val="nil"/>
              <w:bottom w:val="nil"/>
              <w:right w:val="nil"/>
            </w:tcBorders>
            <w:shd w:val="clear" w:color="auto" w:fill="auto"/>
            <w:noWrap/>
            <w:vAlign w:val="bottom"/>
            <w:hideMark/>
          </w:tcPr>
          <w:p w:rsidR="00532D44" w:rsidRPr="0050036F" w:rsidRDefault="00380F9A" w:rsidP="0050036F">
            <w:pPr>
              <w:spacing w:line="360" w:lineRule="auto"/>
              <w:rPr>
                <w:color w:val="000000"/>
                <w:sz w:val="24"/>
                <w:szCs w:val="24"/>
              </w:rPr>
            </w:pPr>
            <w:r w:rsidRPr="0050036F">
              <w:rPr>
                <w:color w:val="000000"/>
                <w:sz w:val="24"/>
                <w:szCs w:val="24"/>
              </w:rPr>
              <w:t>J</w:t>
            </w:r>
            <w:r w:rsidR="00532D44" w:rsidRPr="0050036F">
              <w:rPr>
                <w:color w:val="000000"/>
                <w:sz w:val="24"/>
                <w:szCs w:val="24"/>
              </w:rPr>
              <w:t>ovem</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92</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19,6%</w:t>
            </w:r>
          </w:p>
        </w:tc>
      </w:tr>
      <w:tr w:rsidR="00532D44" w:rsidRPr="0050036F" w:rsidTr="00FC480C">
        <w:trPr>
          <w:trHeight w:val="300"/>
        </w:trPr>
        <w:tc>
          <w:tcPr>
            <w:tcW w:w="1230" w:type="pct"/>
            <w:tcBorders>
              <w:top w:val="nil"/>
              <w:left w:val="nil"/>
              <w:bottom w:val="nil"/>
              <w:right w:val="nil"/>
            </w:tcBorders>
            <w:shd w:val="clear" w:color="auto" w:fill="auto"/>
            <w:noWrap/>
            <w:vAlign w:val="bottom"/>
            <w:hideMark/>
          </w:tcPr>
          <w:p w:rsidR="00532D44" w:rsidRPr="0050036F" w:rsidRDefault="00380F9A" w:rsidP="0050036F">
            <w:pPr>
              <w:spacing w:line="360" w:lineRule="auto"/>
              <w:rPr>
                <w:color w:val="000000"/>
                <w:sz w:val="24"/>
                <w:szCs w:val="24"/>
              </w:rPr>
            </w:pPr>
            <w:r w:rsidRPr="0050036F">
              <w:rPr>
                <w:color w:val="000000"/>
                <w:sz w:val="24"/>
                <w:szCs w:val="24"/>
              </w:rPr>
              <w:t>A</w:t>
            </w:r>
            <w:r w:rsidR="00532D44" w:rsidRPr="0050036F">
              <w:rPr>
                <w:color w:val="000000"/>
                <w:sz w:val="24"/>
                <w:szCs w:val="24"/>
              </w:rPr>
              <w:t>dultos</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361</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53,4%</w:t>
            </w:r>
          </w:p>
        </w:tc>
        <w:tc>
          <w:tcPr>
            <w:tcW w:w="1230" w:type="pct"/>
            <w:tcBorders>
              <w:top w:val="nil"/>
              <w:left w:val="nil"/>
              <w:bottom w:val="nil"/>
              <w:right w:val="nil"/>
            </w:tcBorders>
            <w:shd w:val="clear" w:color="auto" w:fill="auto"/>
            <w:noWrap/>
            <w:vAlign w:val="bottom"/>
            <w:hideMark/>
          </w:tcPr>
          <w:p w:rsidR="00532D44" w:rsidRPr="0050036F" w:rsidRDefault="00380F9A" w:rsidP="0050036F">
            <w:pPr>
              <w:spacing w:line="360" w:lineRule="auto"/>
              <w:rPr>
                <w:color w:val="000000"/>
                <w:sz w:val="24"/>
                <w:szCs w:val="24"/>
              </w:rPr>
            </w:pPr>
            <w:r w:rsidRPr="0050036F">
              <w:rPr>
                <w:color w:val="000000"/>
                <w:sz w:val="24"/>
                <w:szCs w:val="24"/>
              </w:rPr>
              <w:t>A</w:t>
            </w:r>
            <w:r w:rsidR="00532D44" w:rsidRPr="0050036F">
              <w:rPr>
                <w:color w:val="000000"/>
                <w:sz w:val="24"/>
                <w:szCs w:val="24"/>
              </w:rPr>
              <w:t>dultos</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264</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56,3%</w:t>
            </w:r>
          </w:p>
        </w:tc>
      </w:tr>
      <w:tr w:rsidR="00532D44" w:rsidRPr="0050036F" w:rsidTr="00FC480C">
        <w:trPr>
          <w:trHeight w:val="300"/>
        </w:trPr>
        <w:tc>
          <w:tcPr>
            <w:tcW w:w="1230"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Idosos</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50</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7,4%</w:t>
            </w:r>
          </w:p>
        </w:tc>
        <w:tc>
          <w:tcPr>
            <w:tcW w:w="1230" w:type="pct"/>
            <w:tcBorders>
              <w:top w:val="nil"/>
              <w:left w:val="nil"/>
              <w:bottom w:val="nil"/>
              <w:right w:val="nil"/>
            </w:tcBorders>
            <w:shd w:val="clear" w:color="auto" w:fill="auto"/>
            <w:noWrap/>
            <w:vAlign w:val="bottom"/>
            <w:hideMark/>
          </w:tcPr>
          <w:p w:rsidR="00532D44" w:rsidRPr="0050036F" w:rsidRDefault="00380F9A" w:rsidP="0050036F">
            <w:pPr>
              <w:spacing w:line="360" w:lineRule="auto"/>
              <w:rPr>
                <w:color w:val="000000"/>
                <w:sz w:val="24"/>
                <w:szCs w:val="24"/>
              </w:rPr>
            </w:pPr>
            <w:r w:rsidRPr="0050036F">
              <w:rPr>
                <w:color w:val="000000"/>
                <w:sz w:val="24"/>
                <w:szCs w:val="24"/>
              </w:rPr>
              <w:t>I</w:t>
            </w:r>
            <w:r w:rsidR="00532D44" w:rsidRPr="0050036F">
              <w:rPr>
                <w:color w:val="000000"/>
                <w:sz w:val="24"/>
                <w:szCs w:val="24"/>
              </w:rPr>
              <w:t>dosos</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53</w:t>
            </w:r>
          </w:p>
        </w:tc>
        <w:tc>
          <w:tcPr>
            <w:tcW w:w="635" w:type="pct"/>
            <w:tcBorders>
              <w:top w:val="nil"/>
              <w:left w:val="nil"/>
              <w:bottom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11,3%</w:t>
            </w:r>
          </w:p>
        </w:tc>
      </w:tr>
      <w:tr w:rsidR="00532D44" w:rsidRPr="0050036F" w:rsidTr="00380F9A">
        <w:trPr>
          <w:trHeight w:val="300"/>
        </w:trPr>
        <w:tc>
          <w:tcPr>
            <w:tcW w:w="1230" w:type="pct"/>
            <w:tcBorders>
              <w:top w:val="nil"/>
              <w:left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Não Informado</w:t>
            </w:r>
          </w:p>
        </w:tc>
        <w:tc>
          <w:tcPr>
            <w:tcW w:w="635" w:type="pct"/>
            <w:tcBorders>
              <w:top w:val="nil"/>
              <w:left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63</w:t>
            </w:r>
          </w:p>
        </w:tc>
        <w:tc>
          <w:tcPr>
            <w:tcW w:w="635" w:type="pct"/>
            <w:tcBorders>
              <w:top w:val="nil"/>
              <w:left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9,3%</w:t>
            </w:r>
          </w:p>
        </w:tc>
        <w:tc>
          <w:tcPr>
            <w:tcW w:w="1230" w:type="pct"/>
            <w:tcBorders>
              <w:top w:val="nil"/>
              <w:left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Não Informado</w:t>
            </w:r>
          </w:p>
        </w:tc>
        <w:tc>
          <w:tcPr>
            <w:tcW w:w="635" w:type="pct"/>
            <w:tcBorders>
              <w:top w:val="nil"/>
              <w:left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41</w:t>
            </w:r>
          </w:p>
        </w:tc>
        <w:tc>
          <w:tcPr>
            <w:tcW w:w="635" w:type="pct"/>
            <w:tcBorders>
              <w:top w:val="nil"/>
              <w:left w:val="nil"/>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8,7%</w:t>
            </w:r>
          </w:p>
        </w:tc>
      </w:tr>
      <w:tr w:rsidR="00532D44" w:rsidRPr="0050036F" w:rsidTr="00380F9A">
        <w:trPr>
          <w:trHeight w:val="300"/>
        </w:trPr>
        <w:tc>
          <w:tcPr>
            <w:tcW w:w="1230" w:type="pct"/>
            <w:tcBorders>
              <w:top w:val="nil"/>
              <w:left w:val="nil"/>
              <w:bottom w:val="single" w:sz="4" w:space="0" w:color="auto"/>
              <w:right w:val="nil"/>
            </w:tcBorders>
            <w:shd w:val="clear" w:color="auto" w:fill="auto"/>
            <w:noWrap/>
            <w:vAlign w:val="bottom"/>
            <w:hideMark/>
          </w:tcPr>
          <w:p w:rsidR="00532D44" w:rsidRPr="0050036F" w:rsidRDefault="00380F9A" w:rsidP="0050036F">
            <w:pPr>
              <w:spacing w:line="360" w:lineRule="auto"/>
              <w:rPr>
                <w:color w:val="000000"/>
                <w:sz w:val="24"/>
                <w:szCs w:val="24"/>
              </w:rPr>
            </w:pPr>
            <w:r w:rsidRPr="0050036F">
              <w:rPr>
                <w:color w:val="000000"/>
                <w:sz w:val="24"/>
                <w:szCs w:val="24"/>
              </w:rPr>
              <w:t>T</w:t>
            </w:r>
            <w:r w:rsidR="00532D44" w:rsidRPr="0050036F">
              <w:rPr>
                <w:color w:val="000000"/>
                <w:sz w:val="24"/>
                <w:szCs w:val="24"/>
              </w:rPr>
              <w:t xml:space="preserve">otal </w:t>
            </w:r>
          </w:p>
        </w:tc>
        <w:tc>
          <w:tcPr>
            <w:tcW w:w="635" w:type="pct"/>
            <w:tcBorders>
              <w:top w:val="nil"/>
              <w:left w:val="nil"/>
              <w:bottom w:val="single" w:sz="4" w:space="0" w:color="auto"/>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676</w:t>
            </w:r>
          </w:p>
        </w:tc>
        <w:tc>
          <w:tcPr>
            <w:tcW w:w="635" w:type="pct"/>
            <w:tcBorders>
              <w:top w:val="nil"/>
              <w:left w:val="nil"/>
              <w:bottom w:val="single" w:sz="4" w:space="0" w:color="auto"/>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100,0%</w:t>
            </w:r>
          </w:p>
        </w:tc>
        <w:tc>
          <w:tcPr>
            <w:tcW w:w="1230" w:type="pct"/>
            <w:tcBorders>
              <w:top w:val="nil"/>
              <w:left w:val="nil"/>
              <w:bottom w:val="single" w:sz="4" w:space="0" w:color="auto"/>
              <w:right w:val="nil"/>
            </w:tcBorders>
            <w:shd w:val="clear" w:color="auto" w:fill="auto"/>
            <w:noWrap/>
            <w:vAlign w:val="bottom"/>
            <w:hideMark/>
          </w:tcPr>
          <w:p w:rsidR="00532D44" w:rsidRPr="0050036F" w:rsidRDefault="00380F9A" w:rsidP="0050036F">
            <w:pPr>
              <w:spacing w:line="360" w:lineRule="auto"/>
              <w:rPr>
                <w:color w:val="000000"/>
                <w:sz w:val="24"/>
                <w:szCs w:val="24"/>
              </w:rPr>
            </w:pPr>
            <w:r w:rsidRPr="0050036F">
              <w:rPr>
                <w:color w:val="000000"/>
                <w:sz w:val="24"/>
                <w:szCs w:val="24"/>
              </w:rPr>
              <w:t>T</w:t>
            </w:r>
            <w:r w:rsidR="00532D44" w:rsidRPr="0050036F">
              <w:rPr>
                <w:color w:val="000000"/>
                <w:sz w:val="24"/>
                <w:szCs w:val="24"/>
              </w:rPr>
              <w:t xml:space="preserve">otal </w:t>
            </w:r>
          </w:p>
        </w:tc>
        <w:tc>
          <w:tcPr>
            <w:tcW w:w="635" w:type="pct"/>
            <w:tcBorders>
              <w:top w:val="nil"/>
              <w:left w:val="nil"/>
              <w:bottom w:val="single" w:sz="4" w:space="0" w:color="auto"/>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469</w:t>
            </w:r>
          </w:p>
        </w:tc>
        <w:tc>
          <w:tcPr>
            <w:tcW w:w="635" w:type="pct"/>
            <w:tcBorders>
              <w:top w:val="nil"/>
              <w:left w:val="nil"/>
              <w:bottom w:val="single" w:sz="4" w:space="0" w:color="auto"/>
              <w:right w:val="nil"/>
            </w:tcBorders>
            <w:shd w:val="clear" w:color="auto" w:fill="auto"/>
            <w:noWrap/>
            <w:vAlign w:val="bottom"/>
            <w:hideMark/>
          </w:tcPr>
          <w:p w:rsidR="00532D44" w:rsidRPr="0050036F" w:rsidRDefault="00532D44" w:rsidP="0050036F">
            <w:pPr>
              <w:spacing w:line="360" w:lineRule="auto"/>
              <w:rPr>
                <w:color w:val="000000"/>
                <w:sz w:val="24"/>
                <w:szCs w:val="24"/>
              </w:rPr>
            </w:pPr>
            <w:r w:rsidRPr="0050036F">
              <w:rPr>
                <w:color w:val="000000"/>
                <w:sz w:val="24"/>
                <w:szCs w:val="24"/>
              </w:rPr>
              <w:t>100,0%</w:t>
            </w:r>
          </w:p>
        </w:tc>
      </w:tr>
    </w:tbl>
    <w:p w:rsidR="00532D44" w:rsidRPr="0050036F" w:rsidRDefault="009D4F96" w:rsidP="0050036F">
      <w:pPr>
        <w:spacing w:after="200" w:line="360" w:lineRule="auto"/>
        <w:ind w:firstLine="708"/>
        <w:jc w:val="both"/>
        <w:rPr>
          <w:rFonts w:eastAsia="Calibri"/>
          <w:sz w:val="24"/>
          <w:szCs w:val="24"/>
          <w:lang w:eastAsia="en-US"/>
        </w:rPr>
      </w:pPr>
      <w:r w:rsidRPr="0050036F">
        <w:rPr>
          <w:rFonts w:eastAsia="Calibri"/>
          <w:sz w:val="24"/>
          <w:szCs w:val="24"/>
          <w:lang w:eastAsia="en-US"/>
        </w:rPr>
        <w:t xml:space="preserve"> </w:t>
      </w:r>
    </w:p>
    <w:p w:rsidR="009D4F96" w:rsidRPr="0050036F" w:rsidRDefault="009D4F96" w:rsidP="0050036F">
      <w:pPr>
        <w:spacing w:after="200" w:line="360" w:lineRule="auto"/>
        <w:ind w:firstLine="708"/>
        <w:jc w:val="both"/>
        <w:rPr>
          <w:rFonts w:eastAsia="Calibri"/>
          <w:sz w:val="24"/>
          <w:szCs w:val="24"/>
          <w:lang w:eastAsia="en-US"/>
        </w:rPr>
      </w:pPr>
      <w:r w:rsidRPr="0050036F">
        <w:rPr>
          <w:rFonts w:eastAsia="Calibri"/>
          <w:sz w:val="24"/>
          <w:szCs w:val="24"/>
          <w:lang w:eastAsia="en-US"/>
        </w:rPr>
        <w:t>Ao comparar alguns dados sócio demográfi</w:t>
      </w:r>
      <w:r w:rsidR="00380F9A" w:rsidRPr="0050036F">
        <w:rPr>
          <w:rFonts w:eastAsia="Calibri"/>
          <w:sz w:val="24"/>
          <w:szCs w:val="24"/>
          <w:lang w:eastAsia="en-US"/>
        </w:rPr>
        <w:t xml:space="preserve">cos entre os dois </w:t>
      </w:r>
      <w:r w:rsidR="00B63534" w:rsidRPr="0050036F">
        <w:rPr>
          <w:rFonts w:eastAsia="Calibri"/>
          <w:sz w:val="24"/>
          <w:szCs w:val="24"/>
          <w:lang w:eastAsia="en-US"/>
        </w:rPr>
        <w:t>período</w:t>
      </w:r>
      <w:r w:rsidR="00B63534">
        <w:rPr>
          <w:rFonts w:eastAsia="Calibri"/>
          <w:sz w:val="24"/>
          <w:szCs w:val="24"/>
          <w:lang w:eastAsia="en-US"/>
        </w:rPr>
        <w:t>s não foram observadas</w:t>
      </w:r>
      <w:r w:rsidR="00380F9A" w:rsidRPr="0050036F">
        <w:rPr>
          <w:rFonts w:eastAsia="Calibri"/>
          <w:sz w:val="24"/>
          <w:szCs w:val="24"/>
          <w:lang w:eastAsia="en-US"/>
        </w:rPr>
        <w:t xml:space="preserve"> </w:t>
      </w:r>
      <w:r w:rsidR="00DA0127" w:rsidRPr="0050036F">
        <w:rPr>
          <w:rFonts w:eastAsia="Calibri"/>
          <w:sz w:val="24"/>
          <w:szCs w:val="24"/>
          <w:lang w:eastAsia="en-US"/>
        </w:rPr>
        <w:t xml:space="preserve">grandes discrepâncias, mas alguns números chamam a atenção. O sexo masculino aparece com 69,5% dos envolvidos no período antes da pandemia e com 71,9% dos envolvidos durante a pandemia, mostrando que a maioria dos envolvidos em acidentes de trânsito nas rodovias do Paraná são homens, adultos entre 30 e 59 anos. </w:t>
      </w:r>
    </w:p>
    <w:p w:rsidR="00EC187D" w:rsidRPr="0050036F" w:rsidRDefault="00EC187D" w:rsidP="0050036F">
      <w:pPr>
        <w:spacing w:after="200" w:line="360" w:lineRule="auto"/>
        <w:ind w:firstLine="708"/>
        <w:jc w:val="both"/>
        <w:rPr>
          <w:rFonts w:eastAsia="Calibri"/>
          <w:sz w:val="24"/>
          <w:szCs w:val="24"/>
          <w:lang w:eastAsia="en-US"/>
        </w:rPr>
      </w:pPr>
      <w:r w:rsidRPr="0050036F">
        <w:rPr>
          <w:rFonts w:eastAsia="Calibri"/>
          <w:sz w:val="24"/>
          <w:szCs w:val="24"/>
          <w:lang w:eastAsia="en-US"/>
        </w:rPr>
        <w:t xml:space="preserve">Segundo a Secretaria Nacional de Trânsito </w:t>
      </w:r>
      <w:r w:rsidR="004B50B4" w:rsidRPr="0050036F">
        <w:rPr>
          <w:rFonts w:eastAsia="Calibri"/>
          <w:sz w:val="24"/>
          <w:szCs w:val="24"/>
          <w:lang w:eastAsia="en-US"/>
        </w:rPr>
        <w:t xml:space="preserve">(SENATRAN) </w:t>
      </w:r>
      <w:r w:rsidRPr="0050036F">
        <w:rPr>
          <w:rFonts w:eastAsia="Calibri"/>
          <w:sz w:val="24"/>
          <w:szCs w:val="24"/>
          <w:lang w:eastAsia="en-US"/>
        </w:rPr>
        <w:t xml:space="preserve">cerca de 65% das Carteiras Nacionais de Habilitação (CNH) são de motoristas do sexo masculino cerca de 77,5 milhões, em contra partida as mulheres representam 35% das pessoas habilitadas do pais com 27,2 </w:t>
      </w:r>
      <w:r w:rsidRPr="0050036F">
        <w:rPr>
          <w:rFonts w:eastAsia="Calibri"/>
          <w:sz w:val="24"/>
          <w:szCs w:val="24"/>
          <w:lang w:eastAsia="en-US"/>
        </w:rPr>
        <w:lastRenderedPageBreak/>
        <w:t>milhões de CNH emitas até o ano de 2022, ficando evidente que os homens são a maioria dos motoristas no Brasil</w:t>
      </w:r>
      <w:r w:rsidR="004B50B4" w:rsidRPr="0050036F">
        <w:rPr>
          <w:rFonts w:eastAsia="Calibri"/>
          <w:sz w:val="24"/>
          <w:szCs w:val="24"/>
          <w:lang w:eastAsia="en-US"/>
        </w:rPr>
        <w:t xml:space="preserve"> (SENATRAN, </w:t>
      </w:r>
      <w:r w:rsidR="00380F9A" w:rsidRPr="0050036F">
        <w:rPr>
          <w:rFonts w:eastAsia="Calibri"/>
          <w:sz w:val="24"/>
          <w:szCs w:val="24"/>
          <w:lang w:eastAsia="en-US"/>
        </w:rPr>
        <w:t>2022</w:t>
      </w:r>
      <w:r w:rsidR="004B50B4" w:rsidRPr="0050036F">
        <w:rPr>
          <w:rFonts w:eastAsia="Calibri"/>
          <w:sz w:val="24"/>
          <w:szCs w:val="24"/>
          <w:lang w:eastAsia="en-US"/>
        </w:rPr>
        <w:t>)</w:t>
      </w:r>
      <w:r w:rsidRPr="0050036F">
        <w:rPr>
          <w:rFonts w:eastAsia="Calibri"/>
          <w:sz w:val="24"/>
          <w:szCs w:val="24"/>
          <w:lang w:eastAsia="en-US"/>
        </w:rPr>
        <w:t>. Existem estudos que apontam também a mulher como mais cautelosa no trânsito, portando se envolvendo</w:t>
      </w:r>
      <w:r w:rsidR="004B50B4" w:rsidRPr="0050036F">
        <w:rPr>
          <w:rFonts w:eastAsia="Calibri"/>
          <w:sz w:val="24"/>
          <w:szCs w:val="24"/>
          <w:lang w:eastAsia="en-US"/>
        </w:rPr>
        <w:t xml:space="preserve"> menos em acidentes mais graves </w:t>
      </w:r>
      <w:r w:rsidR="0046785A" w:rsidRPr="0050036F">
        <w:rPr>
          <w:rFonts w:eastAsia="Calibri"/>
          <w:sz w:val="24"/>
          <w:szCs w:val="24"/>
          <w:lang w:eastAsia="en-US"/>
        </w:rPr>
        <w:t>(Teixeira,2022)</w:t>
      </w:r>
    </w:p>
    <w:p w:rsidR="009957FE" w:rsidRPr="0050036F" w:rsidRDefault="00B63534" w:rsidP="0050036F">
      <w:pPr>
        <w:spacing w:after="200" w:line="360" w:lineRule="auto"/>
        <w:ind w:firstLine="708"/>
        <w:jc w:val="both"/>
        <w:rPr>
          <w:rFonts w:eastAsia="Calibri"/>
          <w:sz w:val="24"/>
          <w:szCs w:val="24"/>
          <w:lang w:eastAsia="en-US"/>
        </w:rPr>
      </w:pPr>
      <w:r w:rsidRPr="0050036F">
        <w:rPr>
          <w:rFonts w:eastAsia="Calibri"/>
          <w:sz w:val="24"/>
          <w:szCs w:val="24"/>
          <w:lang w:eastAsia="en-US"/>
        </w:rPr>
        <w:t>A taxa de prevalência dos acidentes com óbitos nas rodovias federais da 14° regional de saúde pelo sexo do condutor observou</w:t>
      </w:r>
      <w:r>
        <w:rPr>
          <w:rFonts w:eastAsia="Calibri"/>
          <w:sz w:val="24"/>
          <w:szCs w:val="24"/>
          <w:lang w:eastAsia="en-US"/>
        </w:rPr>
        <w:t>-se</w:t>
      </w:r>
      <w:r w:rsidR="00EC187D" w:rsidRPr="0050036F">
        <w:rPr>
          <w:rFonts w:eastAsia="Calibri"/>
          <w:sz w:val="24"/>
          <w:szCs w:val="24"/>
          <w:lang w:eastAsia="en-US"/>
        </w:rPr>
        <w:t xml:space="preserve"> que </w:t>
      </w:r>
      <w:r w:rsidR="00D14907" w:rsidRPr="0050036F">
        <w:rPr>
          <w:rFonts w:eastAsia="Calibri"/>
          <w:sz w:val="24"/>
          <w:szCs w:val="24"/>
          <w:lang w:eastAsia="en-US"/>
        </w:rPr>
        <w:t>a taxa de prevalência do sexo feminino na s</w:t>
      </w:r>
      <w:r w:rsidR="00EA49D2" w:rsidRPr="0050036F">
        <w:rPr>
          <w:rFonts w:eastAsia="Calibri"/>
          <w:sz w:val="24"/>
          <w:szCs w:val="24"/>
          <w:lang w:eastAsia="en-US"/>
        </w:rPr>
        <w:t>érie</w:t>
      </w:r>
      <w:r w:rsidR="00D14907" w:rsidRPr="0050036F">
        <w:rPr>
          <w:rFonts w:eastAsia="Calibri"/>
          <w:sz w:val="24"/>
          <w:szCs w:val="24"/>
          <w:lang w:eastAsia="en-US"/>
        </w:rPr>
        <w:t xml:space="preserve"> geral analisada de 2017 a 2022 é de 0,38 a cada 100.000 habitantes e a masculina é de 5,38 a cada 100.000 habitantes. </w:t>
      </w:r>
    </w:p>
    <w:p w:rsidR="009957FE" w:rsidRPr="0050036F" w:rsidRDefault="009957FE" w:rsidP="0050036F">
      <w:pPr>
        <w:spacing w:after="200" w:line="360" w:lineRule="auto"/>
        <w:ind w:firstLine="708"/>
        <w:jc w:val="both"/>
        <w:rPr>
          <w:rFonts w:eastAsia="Calibri"/>
          <w:sz w:val="24"/>
          <w:szCs w:val="24"/>
          <w:lang w:eastAsia="en-US"/>
        </w:rPr>
      </w:pPr>
      <w:r w:rsidRPr="0050036F">
        <w:rPr>
          <w:rFonts w:eastAsia="Calibri"/>
          <w:sz w:val="24"/>
          <w:szCs w:val="24"/>
          <w:lang w:eastAsia="en-US"/>
        </w:rPr>
        <w:t xml:space="preserve">A porcentagem de ilesos diminuiu passando de 39,6% no período de pré pandemia para 35,0% no período pandêmico, consequentemente aumentou a porcentagem também de feridos leves </w:t>
      </w:r>
      <w:r w:rsidR="00BE322C" w:rsidRPr="0050036F">
        <w:rPr>
          <w:rFonts w:eastAsia="Calibri"/>
          <w:sz w:val="24"/>
          <w:szCs w:val="24"/>
          <w:lang w:eastAsia="en-US"/>
        </w:rPr>
        <w:t xml:space="preserve">de 38,2% para 41,4% durante a pandemia. Os acidentes com vitimas graves seguiram a mesma linha, quando comparamos as </w:t>
      </w:r>
      <w:r w:rsidR="0046785A" w:rsidRPr="0050036F">
        <w:rPr>
          <w:rFonts w:eastAsia="Calibri"/>
          <w:sz w:val="24"/>
          <w:szCs w:val="24"/>
          <w:lang w:eastAsia="en-US"/>
        </w:rPr>
        <w:t xml:space="preserve">porcentagens antes e durante a Covid19 </w:t>
      </w:r>
      <w:r w:rsidR="00BE322C" w:rsidRPr="0050036F">
        <w:rPr>
          <w:rFonts w:eastAsia="Calibri"/>
          <w:sz w:val="24"/>
          <w:szCs w:val="24"/>
          <w:lang w:eastAsia="en-US"/>
        </w:rPr>
        <w:t>11,8% dos acidentes tiveram lesões graves e 13% com lesões graves, consequentemente a porcentagem de</w:t>
      </w:r>
      <w:r w:rsidRPr="0050036F">
        <w:rPr>
          <w:rFonts w:eastAsia="Calibri"/>
          <w:sz w:val="24"/>
          <w:szCs w:val="24"/>
          <w:lang w:eastAsia="en-US"/>
        </w:rPr>
        <w:t xml:space="preserve"> óbitos</w:t>
      </w:r>
      <w:r w:rsidR="00BE322C" w:rsidRPr="0050036F">
        <w:rPr>
          <w:rFonts w:eastAsia="Calibri"/>
          <w:sz w:val="24"/>
          <w:szCs w:val="24"/>
          <w:lang w:eastAsia="en-US"/>
        </w:rPr>
        <w:t xml:space="preserve">, manteve o padrão de alta, </w:t>
      </w:r>
      <w:r w:rsidRPr="0050036F">
        <w:rPr>
          <w:rFonts w:eastAsia="Calibri"/>
          <w:sz w:val="24"/>
          <w:szCs w:val="24"/>
          <w:lang w:eastAsia="en-US"/>
        </w:rPr>
        <w:t xml:space="preserve"> 5,2%</w:t>
      </w:r>
      <w:r w:rsidR="00BE322C" w:rsidRPr="0050036F">
        <w:rPr>
          <w:rFonts w:eastAsia="Calibri"/>
          <w:sz w:val="24"/>
          <w:szCs w:val="24"/>
          <w:lang w:eastAsia="en-US"/>
        </w:rPr>
        <w:t xml:space="preserve"> no período pré pandemia  </w:t>
      </w:r>
      <w:r w:rsidRPr="0050036F">
        <w:rPr>
          <w:rFonts w:eastAsia="Calibri"/>
          <w:sz w:val="24"/>
          <w:szCs w:val="24"/>
          <w:lang w:eastAsia="en-US"/>
        </w:rPr>
        <w:t xml:space="preserve"> para 6,2%</w:t>
      </w:r>
      <w:r w:rsidR="00BE322C" w:rsidRPr="0050036F">
        <w:rPr>
          <w:rFonts w:eastAsia="Calibri"/>
          <w:sz w:val="24"/>
          <w:szCs w:val="24"/>
          <w:lang w:eastAsia="en-US"/>
        </w:rPr>
        <w:t xml:space="preserve"> durante o período de pandemia </w:t>
      </w:r>
      <w:r w:rsidRPr="0050036F">
        <w:rPr>
          <w:rFonts w:eastAsia="Calibri"/>
          <w:sz w:val="24"/>
          <w:szCs w:val="24"/>
          <w:lang w:eastAsia="en-US"/>
        </w:rPr>
        <w:t xml:space="preserve">, esses números </w:t>
      </w:r>
      <w:r w:rsidR="004B50B4" w:rsidRPr="0050036F">
        <w:rPr>
          <w:rFonts w:eastAsia="Calibri"/>
          <w:sz w:val="24"/>
          <w:szCs w:val="24"/>
          <w:lang w:eastAsia="en-US"/>
        </w:rPr>
        <w:t>mostram</w:t>
      </w:r>
      <w:r w:rsidRPr="0050036F">
        <w:rPr>
          <w:rFonts w:eastAsia="Calibri"/>
          <w:sz w:val="24"/>
          <w:szCs w:val="24"/>
          <w:lang w:eastAsia="en-US"/>
        </w:rPr>
        <w:t xml:space="preserve"> que os acidentes mesmo que tenham diminuídos em q</w:t>
      </w:r>
      <w:r w:rsidR="0046785A" w:rsidRPr="0050036F">
        <w:rPr>
          <w:rFonts w:eastAsia="Calibri"/>
          <w:sz w:val="24"/>
          <w:szCs w:val="24"/>
          <w:lang w:eastAsia="en-US"/>
        </w:rPr>
        <w:t xml:space="preserve">uantidade ficaram mais graves. </w:t>
      </w:r>
    </w:p>
    <w:p w:rsidR="00EA49D2" w:rsidRPr="0050036F" w:rsidRDefault="00B70B1D" w:rsidP="0050036F">
      <w:pPr>
        <w:spacing w:after="200" w:line="360" w:lineRule="auto"/>
        <w:jc w:val="both"/>
        <w:rPr>
          <w:rFonts w:eastAsia="Calibri"/>
          <w:sz w:val="24"/>
          <w:szCs w:val="24"/>
          <w:lang w:eastAsia="en-US"/>
        </w:rPr>
      </w:pPr>
      <w:r w:rsidRPr="0050036F">
        <w:rPr>
          <w:rFonts w:eastAsia="Calibri"/>
          <w:sz w:val="24"/>
          <w:szCs w:val="24"/>
          <w:lang w:eastAsia="en-US"/>
        </w:rPr>
        <w:t xml:space="preserve">Tabela </w:t>
      </w:r>
      <w:r w:rsidR="004B50B4" w:rsidRPr="0050036F">
        <w:rPr>
          <w:rFonts w:eastAsia="Calibri"/>
          <w:sz w:val="24"/>
          <w:szCs w:val="24"/>
          <w:lang w:eastAsia="en-US"/>
        </w:rPr>
        <w:t>4</w:t>
      </w:r>
      <w:r w:rsidRPr="0050036F">
        <w:rPr>
          <w:rFonts w:eastAsia="Calibri"/>
          <w:sz w:val="24"/>
          <w:szCs w:val="24"/>
          <w:lang w:eastAsia="en-US"/>
        </w:rPr>
        <w:t xml:space="preserve">: </w:t>
      </w:r>
      <w:r w:rsidR="00D65A66" w:rsidRPr="0050036F">
        <w:rPr>
          <w:rFonts w:eastAsia="Calibri"/>
          <w:sz w:val="24"/>
          <w:szCs w:val="24"/>
          <w:lang w:eastAsia="en-US"/>
        </w:rPr>
        <w:t xml:space="preserve">Fatores e causas dos acidentes de trânsito nas rodovias federais da 14° Regional de Saúde do Paraná, </w:t>
      </w:r>
      <w:r w:rsidR="00977244" w:rsidRPr="0050036F">
        <w:rPr>
          <w:rFonts w:eastAsia="Calibri"/>
          <w:sz w:val="24"/>
          <w:szCs w:val="24"/>
          <w:lang w:eastAsia="en-US"/>
        </w:rPr>
        <w:t>triênio pré pandêmico e triênio pandêmico.</w:t>
      </w:r>
    </w:p>
    <w:tbl>
      <w:tblPr>
        <w:tblW w:w="8868" w:type="dxa"/>
        <w:tblInd w:w="55" w:type="dxa"/>
        <w:tblCellMar>
          <w:left w:w="70" w:type="dxa"/>
          <w:right w:w="70" w:type="dxa"/>
        </w:tblCellMar>
        <w:tblLook w:val="04A0" w:firstRow="1" w:lastRow="0" w:firstColumn="1" w:lastColumn="0" w:noHBand="0" w:noVBand="1"/>
      </w:tblPr>
      <w:tblGrid>
        <w:gridCol w:w="2860"/>
        <w:gridCol w:w="786"/>
        <w:gridCol w:w="880"/>
        <w:gridCol w:w="2861"/>
        <w:gridCol w:w="787"/>
        <w:gridCol w:w="880"/>
      </w:tblGrid>
      <w:tr w:rsidR="00D65A66" w:rsidRPr="0050036F" w:rsidTr="00D65A66">
        <w:trPr>
          <w:trHeight w:val="300"/>
        </w:trPr>
        <w:tc>
          <w:tcPr>
            <w:tcW w:w="2860" w:type="dxa"/>
            <w:tcBorders>
              <w:top w:val="single" w:sz="4" w:space="0" w:color="auto"/>
              <w:left w:val="nil"/>
              <w:bottom w:val="single" w:sz="4" w:space="0" w:color="auto"/>
              <w:right w:val="nil"/>
            </w:tcBorders>
            <w:shd w:val="clear" w:color="auto" w:fill="auto"/>
            <w:noWrap/>
            <w:vAlign w:val="bottom"/>
            <w:hideMark/>
          </w:tcPr>
          <w:p w:rsidR="00D65A66" w:rsidRPr="0050036F" w:rsidRDefault="00977244" w:rsidP="0050036F">
            <w:pPr>
              <w:spacing w:line="360" w:lineRule="auto"/>
              <w:rPr>
                <w:color w:val="000000"/>
                <w:sz w:val="24"/>
                <w:szCs w:val="24"/>
              </w:rPr>
            </w:pPr>
            <w:r w:rsidRPr="0050036F">
              <w:rPr>
                <w:color w:val="000000"/>
                <w:sz w:val="24"/>
                <w:szCs w:val="24"/>
              </w:rPr>
              <w:t xml:space="preserve">Variáveis Pré Pandemia </w:t>
            </w:r>
          </w:p>
        </w:tc>
        <w:tc>
          <w:tcPr>
            <w:tcW w:w="786" w:type="dxa"/>
            <w:tcBorders>
              <w:top w:val="single" w:sz="4" w:space="0" w:color="auto"/>
              <w:left w:val="nil"/>
              <w:bottom w:val="single" w:sz="4" w:space="0" w:color="auto"/>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N</w:t>
            </w:r>
          </w:p>
        </w:tc>
        <w:tc>
          <w:tcPr>
            <w:tcW w:w="787" w:type="dxa"/>
            <w:tcBorders>
              <w:top w:val="single" w:sz="4" w:space="0" w:color="auto"/>
              <w:left w:val="nil"/>
              <w:bottom w:val="single" w:sz="4" w:space="0" w:color="auto"/>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w:t>
            </w:r>
          </w:p>
        </w:tc>
        <w:tc>
          <w:tcPr>
            <w:tcW w:w="2861" w:type="dxa"/>
            <w:tcBorders>
              <w:top w:val="single" w:sz="4" w:space="0" w:color="auto"/>
              <w:left w:val="nil"/>
              <w:bottom w:val="single" w:sz="4" w:space="0" w:color="auto"/>
              <w:right w:val="nil"/>
            </w:tcBorders>
            <w:shd w:val="clear" w:color="auto" w:fill="auto"/>
            <w:noWrap/>
            <w:vAlign w:val="bottom"/>
            <w:hideMark/>
          </w:tcPr>
          <w:p w:rsidR="00D65A66" w:rsidRPr="0050036F" w:rsidRDefault="00977244" w:rsidP="0050036F">
            <w:pPr>
              <w:spacing w:line="360" w:lineRule="auto"/>
              <w:rPr>
                <w:color w:val="000000"/>
                <w:sz w:val="24"/>
                <w:szCs w:val="24"/>
              </w:rPr>
            </w:pPr>
            <w:r w:rsidRPr="0050036F">
              <w:rPr>
                <w:color w:val="000000"/>
                <w:sz w:val="24"/>
                <w:szCs w:val="24"/>
              </w:rPr>
              <w:t xml:space="preserve">Variáveis Pandemia </w:t>
            </w:r>
          </w:p>
        </w:tc>
        <w:tc>
          <w:tcPr>
            <w:tcW w:w="787" w:type="dxa"/>
            <w:tcBorders>
              <w:top w:val="single" w:sz="4" w:space="0" w:color="auto"/>
              <w:left w:val="nil"/>
              <w:bottom w:val="single" w:sz="4" w:space="0" w:color="auto"/>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N</w:t>
            </w:r>
          </w:p>
        </w:tc>
        <w:tc>
          <w:tcPr>
            <w:tcW w:w="787" w:type="dxa"/>
            <w:tcBorders>
              <w:top w:val="single" w:sz="4" w:space="0" w:color="auto"/>
              <w:left w:val="nil"/>
              <w:bottom w:val="single" w:sz="4" w:space="0" w:color="auto"/>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w:t>
            </w:r>
          </w:p>
        </w:tc>
      </w:tr>
      <w:tr w:rsidR="00D65A66" w:rsidRPr="0050036F" w:rsidTr="00D65A66">
        <w:trPr>
          <w:trHeight w:val="300"/>
        </w:trPr>
        <w:tc>
          <w:tcPr>
            <w:tcW w:w="3646" w:type="dxa"/>
            <w:gridSpan w:val="2"/>
            <w:tcBorders>
              <w:top w:val="nil"/>
              <w:left w:val="nil"/>
              <w:bottom w:val="nil"/>
              <w:right w:val="nil"/>
            </w:tcBorders>
            <w:shd w:val="clear" w:color="auto" w:fill="auto"/>
            <w:noWrap/>
            <w:vAlign w:val="bottom"/>
            <w:hideMark/>
          </w:tcPr>
          <w:p w:rsidR="00D65A66" w:rsidRPr="0050036F" w:rsidRDefault="00D65A66" w:rsidP="0050036F">
            <w:pPr>
              <w:spacing w:line="360" w:lineRule="auto"/>
              <w:rPr>
                <w:b/>
                <w:bCs/>
                <w:color w:val="000000"/>
                <w:sz w:val="24"/>
                <w:szCs w:val="24"/>
              </w:rPr>
            </w:pPr>
            <w:r w:rsidRPr="0050036F">
              <w:rPr>
                <w:b/>
                <w:bCs/>
                <w:color w:val="000000"/>
                <w:sz w:val="24"/>
                <w:szCs w:val="24"/>
              </w:rPr>
              <w:t>Causas Acidentes</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p>
        </w:tc>
        <w:tc>
          <w:tcPr>
            <w:tcW w:w="3648" w:type="dxa"/>
            <w:gridSpan w:val="2"/>
            <w:tcBorders>
              <w:top w:val="nil"/>
              <w:left w:val="nil"/>
              <w:bottom w:val="nil"/>
              <w:right w:val="nil"/>
            </w:tcBorders>
            <w:shd w:val="clear" w:color="auto" w:fill="auto"/>
            <w:noWrap/>
            <w:vAlign w:val="bottom"/>
            <w:hideMark/>
          </w:tcPr>
          <w:p w:rsidR="00D65A66" w:rsidRPr="0050036F" w:rsidRDefault="00D65A66" w:rsidP="0050036F">
            <w:pPr>
              <w:spacing w:line="360" w:lineRule="auto"/>
              <w:rPr>
                <w:b/>
                <w:bCs/>
                <w:color w:val="000000"/>
                <w:sz w:val="24"/>
                <w:szCs w:val="24"/>
              </w:rPr>
            </w:pPr>
            <w:r w:rsidRPr="0050036F">
              <w:rPr>
                <w:b/>
                <w:bCs/>
                <w:color w:val="000000"/>
                <w:sz w:val="24"/>
                <w:szCs w:val="24"/>
              </w:rPr>
              <w:t xml:space="preserve">Causas Acidentes </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p>
        </w:tc>
      </w:tr>
      <w:tr w:rsidR="00D65A66" w:rsidRPr="0050036F" w:rsidTr="00D65A66">
        <w:trPr>
          <w:trHeight w:val="300"/>
        </w:trPr>
        <w:tc>
          <w:tcPr>
            <w:tcW w:w="2860"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Fatores Humanos</w:t>
            </w:r>
          </w:p>
        </w:tc>
        <w:tc>
          <w:tcPr>
            <w:tcW w:w="786"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560</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82,8%</w:t>
            </w:r>
          </w:p>
        </w:tc>
        <w:tc>
          <w:tcPr>
            <w:tcW w:w="2861"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Fatores Humanos</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390</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83,2%</w:t>
            </w:r>
          </w:p>
        </w:tc>
      </w:tr>
      <w:tr w:rsidR="00D65A66" w:rsidRPr="0050036F" w:rsidTr="00D65A66">
        <w:trPr>
          <w:trHeight w:val="300"/>
        </w:trPr>
        <w:tc>
          <w:tcPr>
            <w:tcW w:w="2860"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Infraestrutura e meio ambiente</w:t>
            </w:r>
          </w:p>
        </w:tc>
        <w:tc>
          <w:tcPr>
            <w:tcW w:w="786"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74</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10,9%</w:t>
            </w:r>
          </w:p>
        </w:tc>
        <w:tc>
          <w:tcPr>
            <w:tcW w:w="2861"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Infraestrutura e meio ambiente</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42</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9,0%</w:t>
            </w:r>
          </w:p>
        </w:tc>
      </w:tr>
      <w:tr w:rsidR="00D65A66" w:rsidRPr="0050036F" w:rsidTr="00D65A66">
        <w:trPr>
          <w:trHeight w:val="300"/>
        </w:trPr>
        <w:tc>
          <w:tcPr>
            <w:tcW w:w="2860"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Veículo</w:t>
            </w:r>
          </w:p>
        </w:tc>
        <w:tc>
          <w:tcPr>
            <w:tcW w:w="786"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42</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6,2%</w:t>
            </w:r>
          </w:p>
        </w:tc>
        <w:tc>
          <w:tcPr>
            <w:tcW w:w="2861"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Veículo</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37</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7,9%</w:t>
            </w:r>
          </w:p>
        </w:tc>
      </w:tr>
      <w:tr w:rsidR="00D65A66" w:rsidRPr="0050036F" w:rsidTr="00D65A66">
        <w:trPr>
          <w:trHeight w:val="300"/>
        </w:trPr>
        <w:tc>
          <w:tcPr>
            <w:tcW w:w="2860" w:type="dxa"/>
            <w:tcBorders>
              <w:top w:val="nil"/>
              <w:left w:val="nil"/>
              <w:bottom w:val="nil"/>
              <w:right w:val="nil"/>
            </w:tcBorders>
            <w:shd w:val="clear" w:color="auto" w:fill="auto"/>
            <w:noWrap/>
            <w:vAlign w:val="bottom"/>
            <w:hideMark/>
          </w:tcPr>
          <w:p w:rsidR="00D65A66" w:rsidRPr="0050036F" w:rsidRDefault="0046785A" w:rsidP="0050036F">
            <w:pPr>
              <w:spacing w:line="360" w:lineRule="auto"/>
              <w:rPr>
                <w:sz w:val="24"/>
                <w:szCs w:val="24"/>
              </w:rPr>
            </w:pPr>
            <w:r w:rsidRPr="0050036F">
              <w:rPr>
                <w:sz w:val="24"/>
                <w:szCs w:val="24"/>
              </w:rPr>
              <w:t>T</w:t>
            </w:r>
            <w:r w:rsidR="00D65A66" w:rsidRPr="0050036F">
              <w:rPr>
                <w:sz w:val="24"/>
                <w:szCs w:val="24"/>
              </w:rPr>
              <w:t xml:space="preserve">otal </w:t>
            </w:r>
          </w:p>
        </w:tc>
        <w:tc>
          <w:tcPr>
            <w:tcW w:w="786"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676</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100,0%</w:t>
            </w:r>
          </w:p>
        </w:tc>
        <w:tc>
          <w:tcPr>
            <w:tcW w:w="2861" w:type="dxa"/>
            <w:tcBorders>
              <w:top w:val="nil"/>
              <w:left w:val="nil"/>
              <w:bottom w:val="nil"/>
              <w:right w:val="nil"/>
            </w:tcBorders>
            <w:shd w:val="clear" w:color="auto" w:fill="auto"/>
            <w:noWrap/>
            <w:vAlign w:val="bottom"/>
            <w:hideMark/>
          </w:tcPr>
          <w:p w:rsidR="00D65A66" w:rsidRPr="0050036F" w:rsidRDefault="0046785A" w:rsidP="0050036F">
            <w:pPr>
              <w:spacing w:line="360" w:lineRule="auto"/>
              <w:rPr>
                <w:color w:val="000000"/>
                <w:sz w:val="24"/>
                <w:szCs w:val="24"/>
              </w:rPr>
            </w:pPr>
            <w:r w:rsidRPr="0050036F">
              <w:rPr>
                <w:color w:val="000000"/>
                <w:sz w:val="24"/>
                <w:szCs w:val="24"/>
              </w:rPr>
              <w:t>T</w:t>
            </w:r>
            <w:r w:rsidR="00D65A66" w:rsidRPr="0050036F">
              <w:rPr>
                <w:color w:val="000000"/>
                <w:sz w:val="24"/>
                <w:szCs w:val="24"/>
              </w:rPr>
              <w:t xml:space="preserve">otal </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469</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100,0%</w:t>
            </w:r>
          </w:p>
        </w:tc>
      </w:tr>
      <w:tr w:rsidR="00D65A66" w:rsidRPr="0050036F" w:rsidTr="00D65A66">
        <w:trPr>
          <w:trHeight w:val="300"/>
        </w:trPr>
        <w:tc>
          <w:tcPr>
            <w:tcW w:w="3646" w:type="dxa"/>
            <w:gridSpan w:val="2"/>
            <w:tcBorders>
              <w:top w:val="nil"/>
              <w:left w:val="nil"/>
              <w:bottom w:val="nil"/>
              <w:right w:val="nil"/>
            </w:tcBorders>
            <w:shd w:val="clear" w:color="auto" w:fill="auto"/>
            <w:noWrap/>
            <w:vAlign w:val="bottom"/>
            <w:hideMark/>
          </w:tcPr>
          <w:p w:rsidR="00D65A66" w:rsidRPr="0050036F" w:rsidRDefault="00D65A66" w:rsidP="0050036F">
            <w:pPr>
              <w:spacing w:line="360" w:lineRule="auto"/>
              <w:rPr>
                <w:b/>
                <w:bCs/>
                <w:color w:val="000000"/>
                <w:sz w:val="24"/>
                <w:szCs w:val="24"/>
              </w:rPr>
            </w:pPr>
            <w:r w:rsidRPr="0050036F">
              <w:rPr>
                <w:b/>
                <w:bCs/>
                <w:color w:val="000000"/>
                <w:sz w:val="24"/>
                <w:szCs w:val="24"/>
              </w:rPr>
              <w:t xml:space="preserve">Tipo de Acidentes </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p>
        </w:tc>
        <w:tc>
          <w:tcPr>
            <w:tcW w:w="3648" w:type="dxa"/>
            <w:gridSpan w:val="2"/>
            <w:tcBorders>
              <w:top w:val="nil"/>
              <w:left w:val="nil"/>
              <w:bottom w:val="nil"/>
              <w:right w:val="nil"/>
            </w:tcBorders>
            <w:shd w:val="clear" w:color="auto" w:fill="auto"/>
            <w:noWrap/>
            <w:vAlign w:val="bottom"/>
            <w:hideMark/>
          </w:tcPr>
          <w:p w:rsidR="00D65A66" w:rsidRPr="0050036F" w:rsidRDefault="00D65A66" w:rsidP="0050036F">
            <w:pPr>
              <w:spacing w:line="360" w:lineRule="auto"/>
              <w:rPr>
                <w:b/>
                <w:bCs/>
                <w:color w:val="000000"/>
                <w:sz w:val="24"/>
                <w:szCs w:val="24"/>
              </w:rPr>
            </w:pPr>
            <w:r w:rsidRPr="0050036F">
              <w:rPr>
                <w:b/>
                <w:bCs/>
                <w:color w:val="000000"/>
                <w:sz w:val="24"/>
                <w:szCs w:val="24"/>
              </w:rPr>
              <w:t>Tipo de Acidentes</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p>
        </w:tc>
      </w:tr>
      <w:tr w:rsidR="00D65A66" w:rsidRPr="0050036F" w:rsidTr="00D65A66">
        <w:trPr>
          <w:trHeight w:val="300"/>
        </w:trPr>
        <w:tc>
          <w:tcPr>
            <w:tcW w:w="2860"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Derramamento de Carga</w:t>
            </w:r>
          </w:p>
        </w:tc>
        <w:tc>
          <w:tcPr>
            <w:tcW w:w="786"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3</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0,4%</w:t>
            </w:r>
          </w:p>
        </w:tc>
        <w:tc>
          <w:tcPr>
            <w:tcW w:w="2861"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Derramamento de carga</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0</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0,0%</w:t>
            </w:r>
          </w:p>
        </w:tc>
      </w:tr>
      <w:tr w:rsidR="00D65A66" w:rsidRPr="0050036F" w:rsidTr="00D65A66">
        <w:trPr>
          <w:trHeight w:val="300"/>
        </w:trPr>
        <w:tc>
          <w:tcPr>
            <w:tcW w:w="2860"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Colisão Transversal</w:t>
            </w:r>
          </w:p>
        </w:tc>
        <w:tc>
          <w:tcPr>
            <w:tcW w:w="786"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128</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18,9%</w:t>
            </w:r>
          </w:p>
        </w:tc>
        <w:tc>
          <w:tcPr>
            <w:tcW w:w="2861"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Colisão Transversal</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67</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14,3%</w:t>
            </w:r>
          </w:p>
        </w:tc>
      </w:tr>
      <w:tr w:rsidR="00D65A66" w:rsidRPr="0050036F" w:rsidTr="00D65A66">
        <w:trPr>
          <w:trHeight w:val="300"/>
        </w:trPr>
        <w:tc>
          <w:tcPr>
            <w:tcW w:w="2860"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Colisão Frontal</w:t>
            </w:r>
          </w:p>
        </w:tc>
        <w:tc>
          <w:tcPr>
            <w:tcW w:w="786"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47</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7,0%</w:t>
            </w:r>
          </w:p>
        </w:tc>
        <w:tc>
          <w:tcPr>
            <w:tcW w:w="2861"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Colisão Frontal</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67</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14,3%</w:t>
            </w:r>
          </w:p>
        </w:tc>
      </w:tr>
      <w:tr w:rsidR="00D65A66" w:rsidRPr="0050036F" w:rsidTr="00D65A66">
        <w:trPr>
          <w:trHeight w:val="300"/>
        </w:trPr>
        <w:tc>
          <w:tcPr>
            <w:tcW w:w="2860"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Colisão Traseira</w:t>
            </w:r>
          </w:p>
        </w:tc>
        <w:tc>
          <w:tcPr>
            <w:tcW w:w="786"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113</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16,7%</w:t>
            </w:r>
          </w:p>
        </w:tc>
        <w:tc>
          <w:tcPr>
            <w:tcW w:w="2861"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 xml:space="preserve">Colisão Traseira </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82</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17,5%</w:t>
            </w:r>
          </w:p>
        </w:tc>
      </w:tr>
      <w:tr w:rsidR="00D65A66" w:rsidRPr="0050036F" w:rsidTr="00D65A66">
        <w:trPr>
          <w:trHeight w:val="300"/>
        </w:trPr>
        <w:tc>
          <w:tcPr>
            <w:tcW w:w="2860"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Colisão Lateral</w:t>
            </w:r>
          </w:p>
        </w:tc>
        <w:tc>
          <w:tcPr>
            <w:tcW w:w="786"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84</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12,4%</w:t>
            </w:r>
          </w:p>
        </w:tc>
        <w:tc>
          <w:tcPr>
            <w:tcW w:w="2861"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Colisão Lateral</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39</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8,3%</w:t>
            </w:r>
          </w:p>
        </w:tc>
      </w:tr>
      <w:tr w:rsidR="00D65A66" w:rsidRPr="0050036F" w:rsidTr="00D65A66">
        <w:trPr>
          <w:trHeight w:val="300"/>
        </w:trPr>
        <w:tc>
          <w:tcPr>
            <w:tcW w:w="2860"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lastRenderedPageBreak/>
              <w:t xml:space="preserve">Atropelamento de Animal </w:t>
            </w:r>
          </w:p>
        </w:tc>
        <w:tc>
          <w:tcPr>
            <w:tcW w:w="786"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2</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0,3%</w:t>
            </w:r>
          </w:p>
        </w:tc>
        <w:tc>
          <w:tcPr>
            <w:tcW w:w="2861"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 xml:space="preserve">Atropelamento de Animal </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5</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1,1%</w:t>
            </w:r>
          </w:p>
        </w:tc>
      </w:tr>
      <w:tr w:rsidR="00D65A66" w:rsidRPr="0050036F" w:rsidTr="00D65A66">
        <w:trPr>
          <w:trHeight w:val="300"/>
        </w:trPr>
        <w:tc>
          <w:tcPr>
            <w:tcW w:w="2860"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 xml:space="preserve">Atropelamento de Pedestres  </w:t>
            </w:r>
          </w:p>
        </w:tc>
        <w:tc>
          <w:tcPr>
            <w:tcW w:w="786"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20</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3,0%</w:t>
            </w:r>
          </w:p>
        </w:tc>
        <w:tc>
          <w:tcPr>
            <w:tcW w:w="2861"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 xml:space="preserve">Atropelamento de Pedestres  </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13</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2,8%</w:t>
            </w:r>
          </w:p>
        </w:tc>
      </w:tr>
      <w:tr w:rsidR="00D65A66" w:rsidRPr="0050036F" w:rsidTr="00D65A66">
        <w:trPr>
          <w:trHeight w:val="300"/>
        </w:trPr>
        <w:tc>
          <w:tcPr>
            <w:tcW w:w="2860"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Capotamento</w:t>
            </w:r>
          </w:p>
        </w:tc>
        <w:tc>
          <w:tcPr>
            <w:tcW w:w="786"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27</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4,0%</w:t>
            </w:r>
          </w:p>
        </w:tc>
        <w:tc>
          <w:tcPr>
            <w:tcW w:w="2861"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Capotamento</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4</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0,9%</w:t>
            </w:r>
          </w:p>
        </w:tc>
      </w:tr>
      <w:tr w:rsidR="00D65A66" w:rsidRPr="0050036F" w:rsidTr="00D65A66">
        <w:trPr>
          <w:trHeight w:val="300"/>
        </w:trPr>
        <w:tc>
          <w:tcPr>
            <w:tcW w:w="2860"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 xml:space="preserve">Colisão com Objetos </w:t>
            </w:r>
          </w:p>
        </w:tc>
        <w:tc>
          <w:tcPr>
            <w:tcW w:w="786"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42</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6,2%</w:t>
            </w:r>
          </w:p>
        </w:tc>
        <w:tc>
          <w:tcPr>
            <w:tcW w:w="2861"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 xml:space="preserve">Colisão com Objetos </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42</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9,0%</w:t>
            </w:r>
          </w:p>
        </w:tc>
      </w:tr>
      <w:tr w:rsidR="00D65A66" w:rsidRPr="0050036F" w:rsidTr="00D65A66">
        <w:trPr>
          <w:trHeight w:val="300"/>
        </w:trPr>
        <w:tc>
          <w:tcPr>
            <w:tcW w:w="2860"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Incêndio</w:t>
            </w:r>
          </w:p>
        </w:tc>
        <w:tc>
          <w:tcPr>
            <w:tcW w:w="786"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3</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0,4%</w:t>
            </w:r>
          </w:p>
        </w:tc>
        <w:tc>
          <w:tcPr>
            <w:tcW w:w="2861"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Incêndio</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2</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0,4%</w:t>
            </w:r>
          </w:p>
        </w:tc>
      </w:tr>
      <w:tr w:rsidR="00D65A66" w:rsidRPr="0050036F" w:rsidTr="00D65A66">
        <w:trPr>
          <w:trHeight w:val="300"/>
        </w:trPr>
        <w:tc>
          <w:tcPr>
            <w:tcW w:w="2860"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Queda de Ocupante do Veículo</w:t>
            </w:r>
          </w:p>
        </w:tc>
        <w:tc>
          <w:tcPr>
            <w:tcW w:w="786"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29</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4,3%</w:t>
            </w:r>
          </w:p>
        </w:tc>
        <w:tc>
          <w:tcPr>
            <w:tcW w:w="2861"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Queda de Ocupante do Veículo</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11</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2,3%</w:t>
            </w:r>
          </w:p>
        </w:tc>
      </w:tr>
      <w:tr w:rsidR="00D65A66" w:rsidRPr="0050036F" w:rsidTr="00D65A66">
        <w:trPr>
          <w:trHeight w:val="300"/>
        </w:trPr>
        <w:tc>
          <w:tcPr>
            <w:tcW w:w="2860"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 xml:space="preserve">Tombamento </w:t>
            </w:r>
          </w:p>
        </w:tc>
        <w:tc>
          <w:tcPr>
            <w:tcW w:w="786"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45</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6,7%</w:t>
            </w:r>
          </w:p>
        </w:tc>
        <w:tc>
          <w:tcPr>
            <w:tcW w:w="2861"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 xml:space="preserve">Tombamento </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17</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3,6%</w:t>
            </w:r>
          </w:p>
        </w:tc>
      </w:tr>
      <w:tr w:rsidR="00D65A66" w:rsidRPr="0050036F" w:rsidTr="00D65A66">
        <w:trPr>
          <w:trHeight w:val="300"/>
        </w:trPr>
        <w:tc>
          <w:tcPr>
            <w:tcW w:w="2860"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 xml:space="preserve">Saída do leito Carroçável </w:t>
            </w:r>
          </w:p>
        </w:tc>
        <w:tc>
          <w:tcPr>
            <w:tcW w:w="786"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133</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19,7%</w:t>
            </w:r>
          </w:p>
        </w:tc>
        <w:tc>
          <w:tcPr>
            <w:tcW w:w="2861"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 xml:space="preserve">Saída do leito Carroçável </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100</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21,3%</w:t>
            </w:r>
          </w:p>
        </w:tc>
      </w:tr>
      <w:tr w:rsidR="00D65A66" w:rsidRPr="0050036F" w:rsidTr="00D65A66">
        <w:trPr>
          <w:trHeight w:val="300"/>
        </w:trPr>
        <w:tc>
          <w:tcPr>
            <w:tcW w:w="2860"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 xml:space="preserve">Danos Eventuais </w:t>
            </w:r>
          </w:p>
        </w:tc>
        <w:tc>
          <w:tcPr>
            <w:tcW w:w="786"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0</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0,0%</w:t>
            </w:r>
          </w:p>
        </w:tc>
        <w:tc>
          <w:tcPr>
            <w:tcW w:w="2861"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Danos Eventuais</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5</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1,1%</w:t>
            </w:r>
          </w:p>
        </w:tc>
      </w:tr>
      <w:tr w:rsidR="00D65A66" w:rsidRPr="0050036F" w:rsidTr="00D65A66">
        <w:trPr>
          <w:trHeight w:val="300"/>
        </w:trPr>
        <w:tc>
          <w:tcPr>
            <w:tcW w:w="2860"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Engavetamento</w:t>
            </w:r>
          </w:p>
        </w:tc>
        <w:tc>
          <w:tcPr>
            <w:tcW w:w="786"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0</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0,0%</w:t>
            </w:r>
          </w:p>
        </w:tc>
        <w:tc>
          <w:tcPr>
            <w:tcW w:w="2861"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Engavetamento</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15</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3,2%</w:t>
            </w:r>
          </w:p>
        </w:tc>
      </w:tr>
      <w:tr w:rsidR="00D65A66" w:rsidRPr="0050036F" w:rsidTr="00D65A66">
        <w:trPr>
          <w:trHeight w:val="300"/>
        </w:trPr>
        <w:tc>
          <w:tcPr>
            <w:tcW w:w="2860" w:type="dxa"/>
            <w:tcBorders>
              <w:top w:val="nil"/>
              <w:left w:val="nil"/>
              <w:bottom w:val="nil"/>
              <w:right w:val="nil"/>
            </w:tcBorders>
            <w:shd w:val="clear" w:color="auto" w:fill="auto"/>
            <w:noWrap/>
            <w:vAlign w:val="bottom"/>
            <w:hideMark/>
          </w:tcPr>
          <w:p w:rsidR="00D65A66" w:rsidRPr="0050036F" w:rsidRDefault="0046785A" w:rsidP="0050036F">
            <w:pPr>
              <w:spacing w:line="360" w:lineRule="auto"/>
              <w:rPr>
                <w:sz w:val="24"/>
                <w:szCs w:val="24"/>
              </w:rPr>
            </w:pPr>
            <w:r w:rsidRPr="0050036F">
              <w:rPr>
                <w:sz w:val="24"/>
                <w:szCs w:val="24"/>
              </w:rPr>
              <w:t>Total</w:t>
            </w:r>
            <w:r w:rsidR="00D65A66" w:rsidRPr="0050036F">
              <w:rPr>
                <w:sz w:val="24"/>
                <w:szCs w:val="24"/>
              </w:rPr>
              <w:t xml:space="preserve"> </w:t>
            </w:r>
          </w:p>
        </w:tc>
        <w:tc>
          <w:tcPr>
            <w:tcW w:w="786"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676</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100,0%</w:t>
            </w:r>
          </w:p>
        </w:tc>
        <w:tc>
          <w:tcPr>
            <w:tcW w:w="2861" w:type="dxa"/>
            <w:tcBorders>
              <w:top w:val="nil"/>
              <w:left w:val="nil"/>
              <w:bottom w:val="nil"/>
              <w:right w:val="nil"/>
            </w:tcBorders>
            <w:shd w:val="clear" w:color="auto" w:fill="auto"/>
            <w:noWrap/>
            <w:vAlign w:val="bottom"/>
            <w:hideMark/>
          </w:tcPr>
          <w:p w:rsidR="00D65A66" w:rsidRPr="0050036F" w:rsidRDefault="0046785A" w:rsidP="0050036F">
            <w:pPr>
              <w:spacing w:line="360" w:lineRule="auto"/>
              <w:rPr>
                <w:sz w:val="24"/>
                <w:szCs w:val="24"/>
              </w:rPr>
            </w:pPr>
            <w:r w:rsidRPr="0050036F">
              <w:rPr>
                <w:sz w:val="24"/>
                <w:szCs w:val="24"/>
              </w:rPr>
              <w:t>Total</w:t>
            </w:r>
            <w:r w:rsidR="00D65A66" w:rsidRPr="0050036F">
              <w:rPr>
                <w:sz w:val="24"/>
                <w:szCs w:val="24"/>
              </w:rPr>
              <w:t xml:space="preserve"> </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469</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100,0%</w:t>
            </w:r>
          </w:p>
        </w:tc>
      </w:tr>
      <w:tr w:rsidR="00D65A66" w:rsidRPr="0050036F" w:rsidTr="00D65A66">
        <w:trPr>
          <w:trHeight w:val="300"/>
        </w:trPr>
        <w:tc>
          <w:tcPr>
            <w:tcW w:w="3646" w:type="dxa"/>
            <w:gridSpan w:val="2"/>
            <w:tcBorders>
              <w:top w:val="nil"/>
              <w:left w:val="nil"/>
              <w:bottom w:val="nil"/>
              <w:right w:val="nil"/>
            </w:tcBorders>
            <w:shd w:val="clear" w:color="auto" w:fill="auto"/>
            <w:noWrap/>
            <w:vAlign w:val="bottom"/>
            <w:hideMark/>
          </w:tcPr>
          <w:p w:rsidR="00D65A66" w:rsidRPr="0050036F" w:rsidRDefault="00D65A66" w:rsidP="0050036F">
            <w:pPr>
              <w:spacing w:line="360" w:lineRule="auto"/>
              <w:rPr>
                <w:b/>
                <w:bCs/>
                <w:sz w:val="24"/>
                <w:szCs w:val="24"/>
              </w:rPr>
            </w:pPr>
            <w:r w:rsidRPr="0050036F">
              <w:rPr>
                <w:b/>
                <w:bCs/>
                <w:sz w:val="24"/>
                <w:szCs w:val="24"/>
              </w:rPr>
              <w:t xml:space="preserve">Motivos dos Acidentes </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p>
        </w:tc>
        <w:tc>
          <w:tcPr>
            <w:tcW w:w="3648" w:type="dxa"/>
            <w:gridSpan w:val="2"/>
            <w:tcBorders>
              <w:top w:val="nil"/>
              <w:left w:val="nil"/>
              <w:bottom w:val="nil"/>
              <w:right w:val="nil"/>
            </w:tcBorders>
            <w:shd w:val="clear" w:color="auto" w:fill="auto"/>
            <w:noWrap/>
            <w:vAlign w:val="bottom"/>
            <w:hideMark/>
          </w:tcPr>
          <w:p w:rsidR="00D65A66" w:rsidRPr="0050036F" w:rsidRDefault="00D65A66" w:rsidP="0050036F">
            <w:pPr>
              <w:spacing w:line="360" w:lineRule="auto"/>
              <w:rPr>
                <w:b/>
                <w:bCs/>
                <w:sz w:val="24"/>
                <w:szCs w:val="24"/>
              </w:rPr>
            </w:pPr>
            <w:r w:rsidRPr="0050036F">
              <w:rPr>
                <w:b/>
                <w:bCs/>
                <w:sz w:val="24"/>
                <w:szCs w:val="24"/>
              </w:rPr>
              <w:t xml:space="preserve">Motivos dos Acidentes </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p>
        </w:tc>
      </w:tr>
      <w:tr w:rsidR="00D65A66" w:rsidRPr="0050036F" w:rsidTr="00D65A66">
        <w:trPr>
          <w:trHeight w:val="300"/>
        </w:trPr>
        <w:tc>
          <w:tcPr>
            <w:tcW w:w="2860"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Animais na Pista</w:t>
            </w:r>
          </w:p>
        </w:tc>
        <w:tc>
          <w:tcPr>
            <w:tcW w:w="786"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18</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2,7%</w:t>
            </w:r>
          </w:p>
        </w:tc>
        <w:tc>
          <w:tcPr>
            <w:tcW w:w="2861"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Animais na Pista</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8</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sz w:val="24"/>
                <w:szCs w:val="24"/>
              </w:rPr>
            </w:pPr>
            <w:r w:rsidRPr="0050036F">
              <w:rPr>
                <w:sz w:val="24"/>
                <w:szCs w:val="24"/>
              </w:rPr>
              <w:t>1,7%</w:t>
            </w:r>
          </w:p>
        </w:tc>
      </w:tr>
      <w:tr w:rsidR="00D65A66" w:rsidRPr="0050036F" w:rsidTr="00D65A66">
        <w:trPr>
          <w:trHeight w:val="300"/>
        </w:trPr>
        <w:tc>
          <w:tcPr>
            <w:tcW w:w="2860"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 xml:space="preserve">Defeito Mecânico </w:t>
            </w:r>
          </w:p>
        </w:tc>
        <w:tc>
          <w:tcPr>
            <w:tcW w:w="786"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43</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6,4%</w:t>
            </w:r>
          </w:p>
        </w:tc>
        <w:tc>
          <w:tcPr>
            <w:tcW w:w="2861"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 xml:space="preserve">Defeito Mecânico </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37</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7,9%</w:t>
            </w:r>
          </w:p>
        </w:tc>
      </w:tr>
      <w:tr w:rsidR="00D65A66" w:rsidRPr="0050036F" w:rsidTr="00D65A66">
        <w:trPr>
          <w:trHeight w:val="300"/>
        </w:trPr>
        <w:tc>
          <w:tcPr>
            <w:tcW w:w="2860"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Defeito na Via ou Sinalização</w:t>
            </w:r>
          </w:p>
        </w:tc>
        <w:tc>
          <w:tcPr>
            <w:tcW w:w="786"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41</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6,1%</w:t>
            </w:r>
          </w:p>
        </w:tc>
        <w:tc>
          <w:tcPr>
            <w:tcW w:w="2861"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Defeito na Via ou Sinalização</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26</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5,5%</w:t>
            </w:r>
          </w:p>
        </w:tc>
      </w:tr>
      <w:tr w:rsidR="00D65A66" w:rsidRPr="0050036F" w:rsidTr="00D65A66">
        <w:trPr>
          <w:trHeight w:val="300"/>
        </w:trPr>
        <w:tc>
          <w:tcPr>
            <w:tcW w:w="2860"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Desrespeito as Normas de Trânsito</w:t>
            </w:r>
          </w:p>
        </w:tc>
        <w:tc>
          <w:tcPr>
            <w:tcW w:w="786"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83</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12,3%</w:t>
            </w:r>
          </w:p>
        </w:tc>
        <w:tc>
          <w:tcPr>
            <w:tcW w:w="2861"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Desrespeito as Normas de Trânsito</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80</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17,1%</w:t>
            </w:r>
          </w:p>
        </w:tc>
      </w:tr>
      <w:tr w:rsidR="00D65A66" w:rsidRPr="0050036F" w:rsidTr="00D65A66">
        <w:trPr>
          <w:trHeight w:val="300"/>
        </w:trPr>
        <w:tc>
          <w:tcPr>
            <w:tcW w:w="2860"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Falta de Atenção</w:t>
            </w:r>
          </w:p>
        </w:tc>
        <w:tc>
          <w:tcPr>
            <w:tcW w:w="786"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310</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45,9%</w:t>
            </w:r>
          </w:p>
        </w:tc>
        <w:tc>
          <w:tcPr>
            <w:tcW w:w="2861"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Falta de Atenção</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149</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31,8%</w:t>
            </w:r>
          </w:p>
        </w:tc>
      </w:tr>
      <w:tr w:rsidR="00D65A66" w:rsidRPr="0050036F" w:rsidTr="00D65A66">
        <w:trPr>
          <w:trHeight w:val="300"/>
        </w:trPr>
        <w:tc>
          <w:tcPr>
            <w:tcW w:w="2860"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Imprudência</w:t>
            </w:r>
          </w:p>
        </w:tc>
        <w:tc>
          <w:tcPr>
            <w:tcW w:w="786"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97</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14,3%</w:t>
            </w:r>
          </w:p>
        </w:tc>
        <w:tc>
          <w:tcPr>
            <w:tcW w:w="2861"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Imprudência</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104</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22,2%</w:t>
            </w:r>
          </w:p>
        </w:tc>
      </w:tr>
      <w:tr w:rsidR="00D65A66" w:rsidRPr="0050036F" w:rsidTr="00D65A66">
        <w:trPr>
          <w:trHeight w:val="300"/>
        </w:trPr>
        <w:tc>
          <w:tcPr>
            <w:tcW w:w="2860"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 xml:space="preserve">Ingestão de Álcool ou Drogas </w:t>
            </w:r>
          </w:p>
        </w:tc>
        <w:tc>
          <w:tcPr>
            <w:tcW w:w="786"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49</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7,2%</w:t>
            </w:r>
          </w:p>
        </w:tc>
        <w:tc>
          <w:tcPr>
            <w:tcW w:w="2861"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 xml:space="preserve">Ingestão de Álcool ou Drogas </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49</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10,4%</w:t>
            </w:r>
          </w:p>
        </w:tc>
      </w:tr>
      <w:tr w:rsidR="00D65A66" w:rsidRPr="0050036F" w:rsidTr="00D65A66">
        <w:trPr>
          <w:trHeight w:val="300"/>
        </w:trPr>
        <w:tc>
          <w:tcPr>
            <w:tcW w:w="2860"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 xml:space="preserve">Mal Súbito </w:t>
            </w:r>
          </w:p>
        </w:tc>
        <w:tc>
          <w:tcPr>
            <w:tcW w:w="786"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16</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2,4%</w:t>
            </w:r>
          </w:p>
        </w:tc>
        <w:tc>
          <w:tcPr>
            <w:tcW w:w="2861"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 xml:space="preserve">Mal Súbito </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7</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1,5%</w:t>
            </w:r>
          </w:p>
        </w:tc>
      </w:tr>
      <w:tr w:rsidR="00D65A66" w:rsidRPr="0050036F" w:rsidTr="00D65A66">
        <w:trPr>
          <w:trHeight w:val="300"/>
        </w:trPr>
        <w:tc>
          <w:tcPr>
            <w:tcW w:w="2860"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 xml:space="preserve">Fatores Climáticos </w:t>
            </w:r>
          </w:p>
        </w:tc>
        <w:tc>
          <w:tcPr>
            <w:tcW w:w="786"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15</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2,2%</w:t>
            </w:r>
          </w:p>
        </w:tc>
        <w:tc>
          <w:tcPr>
            <w:tcW w:w="2861"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 xml:space="preserve">Fatores Climáticos </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8</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1,7%</w:t>
            </w:r>
          </w:p>
        </w:tc>
      </w:tr>
      <w:tr w:rsidR="00D65A66" w:rsidRPr="0050036F" w:rsidTr="00D65A66">
        <w:trPr>
          <w:trHeight w:val="300"/>
        </w:trPr>
        <w:tc>
          <w:tcPr>
            <w:tcW w:w="2860"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Agressão Externa</w:t>
            </w:r>
          </w:p>
        </w:tc>
        <w:tc>
          <w:tcPr>
            <w:tcW w:w="786"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4</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0,6%</w:t>
            </w:r>
          </w:p>
        </w:tc>
        <w:tc>
          <w:tcPr>
            <w:tcW w:w="2861"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Agressão Externa</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1</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0,2%</w:t>
            </w:r>
          </w:p>
        </w:tc>
      </w:tr>
      <w:tr w:rsidR="00D65A66" w:rsidRPr="0050036F" w:rsidTr="00D65A66">
        <w:trPr>
          <w:trHeight w:val="300"/>
        </w:trPr>
        <w:tc>
          <w:tcPr>
            <w:tcW w:w="2860" w:type="dxa"/>
            <w:tcBorders>
              <w:top w:val="nil"/>
              <w:left w:val="nil"/>
              <w:bottom w:val="nil"/>
              <w:right w:val="nil"/>
            </w:tcBorders>
            <w:shd w:val="clear" w:color="auto" w:fill="auto"/>
            <w:noWrap/>
            <w:vAlign w:val="bottom"/>
            <w:hideMark/>
          </w:tcPr>
          <w:p w:rsidR="00D65A66" w:rsidRPr="0050036F" w:rsidRDefault="0046785A" w:rsidP="0050036F">
            <w:pPr>
              <w:spacing w:line="360" w:lineRule="auto"/>
              <w:rPr>
                <w:color w:val="000000"/>
                <w:sz w:val="24"/>
                <w:szCs w:val="24"/>
              </w:rPr>
            </w:pPr>
            <w:r w:rsidRPr="0050036F">
              <w:rPr>
                <w:color w:val="000000"/>
                <w:sz w:val="24"/>
                <w:szCs w:val="24"/>
              </w:rPr>
              <w:t>Total</w:t>
            </w:r>
            <w:r w:rsidR="00D65A66" w:rsidRPr="0050036F">
              <w:rPr>
                <w:color w:val="000000"/>
                <w:sz w:val="24"/>
                <w:szCs w:val="24"/>
              </w:rPr>
              <w:t xml:space="preserve"> </w:t>
            </w:r>
          </w:p>
        </w:tc>
        <w:tc>
          <w:tcPr>
            <w:tcW w:w="786"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676</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100,0%</w:t>
            </w:r>
          </w:p>
        </w:tc>
        <w:tc>
          <w:tcPr>
            <w:tcW w:w="2861" w:type="dxa"/>
            <w:tcBorders>
              <w:top w:val="nil"/>
              <w:left w:val="nil"/>
              <w:bottom w:val="nil"/>
              <w:right w:val="nil"/>
            </w:tcBorders>
            <w:shd w:val="clear" w:color="auto" w:fill="auto"/>
            <w:noWrap/>
            <w:vAlign w:val="bottom"/>
            <w:hideMark/>
          </w:tcPr>
          <w:p w:rsidR="00D65A66" w:rsidRPr="0050036F" w:rsidRDefault="0046785A" w:rsidP="0050036F">
            <w:pPr>
              <w:spacing w:line="360" w:lineRule="auto"/>
              <w:rPr>
                <w:color w:val="000000"/>
                <w:sz w:val="24"/>
                <w:szCs w:val="24"/>
              </w:rPr>
            </w:pPr>
            <w:r w:rsidRPr="0050036F">
              <w:rPr>
                <w:color w:val="000000"/>
                <w:sz w:val="24"/>
                <w:szCs w:val="24"/>
              </w:rPr>
              <w:t>Total</w:t>
            </w:r>
            <w:r w:rsidR="00D65A66" w:rsidRPr="0050036F">
              <w:rPr>
                <w:color w:val="000000"/>
                <w:sz w:val="24"/>
                <w:szCs w:val="24"/>
              </w:rPr>
              <w:t xml:space="preserve"> </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469</w:t>
            </w:r>
          </w:p>
        </w:tc>
        <w:tc>
          <w:tcPr>
            <w:tcW w:w="787" w:type="dxa"/>
            <w:tcBorders>
              <w:top w:val="nil"/>
              <w:left w:val="nil"/>
              <w:bottom w:val="nil"/>
              <w:right w:val="nil"/>
            </w:tcBorders>
            <w:shd w:val="clear" w:color="auto" w:fill="auto"/>
            <w:noWrap/>
            <w:vAlign w:val="bottom"/>
            <w:hideMark/>
          </w:tcPr>
          <w:p w:rsidR="00D65A66" w:rsidRPr="0050036F" w:rsidRDefault="00D65A66" w:rsidP="0050036F">
            <w:pPr>
              <w:spacing w:line="360" w:lineRule="auto"/>
              <w:rPr>
                <w:color w:val="000000"/>
                <w:sz w:val="24"/>
                <w:szCs w:val="24"/>
              </w:rPr>
            </w:pPr>
            <w:r w:rsidRPr="0050036F">
              <w:rPr>
                <w:color w:val="000000"/>
                <w:sz w:val="24"/>
                <w:szCs w:val="24"/>
              </w:rPr>
              <w:t>100,0%</w:t>
            </w:r>
          </w:p>
        </w:tc>
      </w:tr>
    </w:tbl>
    <w:p w:rsidR="001F6CBA" w:rsidRPr="0050036F" w:rsidRDefault="003E175D" w:rsidP="0050036F">
      <w:pPr>
        <w:spacing w:line="360" w:lineRule="auto"/>
        <w:jc w:val="both"/>
        <w:rPr>
          <w:b/>
          <w:sz w:val="24"/>
          <w:szCs w:val="24"/>
        </w:rPr>
      </w:pPr>
      <w:r>
        <w:rPr>
          <w:b/>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3.85pt;margin-top:10.35pt;width:472.9pt;height:0;z-index:1;mso-position-horizontal-relative:text;mso-position-vertical-relative:text" o:connectortype="straight"/>
        </w:pict>
      </w:r>
    </w:p>
    <w:p w:rsidR="00715AAC" w:rsidRPr="0050036F" w:rsidRDefault="00977244" w:rsidP="0050036F">
      <w:pPr>
        <w:spacing w:line="360" w:lineRule="auto"/>
        <w:ind w:firstLine="708"/>
        <w:jc w:val="both"/>
        <w:rPr>
          <w:sz w:val="24"/>
          <w:szCs w:val="24"/>
        </w:rPr>
      </w:pPr>
      <w:r w:rsidRPr="0050036F">
        <w:rPr>
          <w:sz w:val="24"/>
          <w:szCs w:val="24"/>
        </w:rPr>
        <w:t xml:space="preserve">A tabela </w:t>
      </w:r>
      <w:r w:rsidR="004B50B4" w:rsidRPr="0050036F">
        <w:rPr>
          <w:sz w:val="24"/>
          <w:szCs w:val="24"/>
        </w:rPr>
        <w:t>4</w:t>
      </w:r>
      <w:r w:rsidRPr="0050036F">
        <w:rPr>
          <w:sz w:val="24"/>
          <w:szCs w:val="24"/>
        </w:rPr>
        <w:t xml:space="preserve"> apresenta que o principal fator dos acidentes de trânsito na  14° Regional de Saúde é os fatores humanos 82,8% no triênio pré pandemia e 83,2% no período da pandemia, sendo a falta de atenç</w:t>
      </w:r>
      <w:r w:rsidR="00715AAC" w:rsidRPr="0050036F">
        <w:rPr>
          <w:sz w:val="24"/>
          <w:szCs w:val="24"/>
        </w:rPr>
        <w:t xml:space="preserve">ão, imprudência e o desrespeito a normas de trânsito como os principais fatores causadores de acidentes. </w:t>
      </w:r>
      <w:r w:rsidR="002500F3" w:rsidRPr="0050036F">
        <w:rPr>
          <w:sz w:val="24"/>
          <w:szCs w:val="24"/>
        </w:rPr>
        <w:t xml:space="preserve">Acidentes por fatores humanos como imprudência, falta de atenção e desrespeito as normas de trânsito são acidentes evitáveis. </w:t>
      </w:r>
    </w:p>
    <w:p w:rsidR="001F6CBA" w:rsidRPr="0050036F" w:rsidRDefault="00715AAC" w:rsidP="0050036F">
      <w:pPr>
        <w:spacing w:line="360" w:lineRule="auto"/>
        <w:ind w:firstLine="708"/>
        <w:jc w:val="both"/>
        <w:rPr>
          <w:sz w:val="24"/>
          <w:szCs w:val="24"/>
        </w:rPr>
      </w:pPr>
      <w:r w:rsidRPr="0050036F">
        <w:rPr>
          <w:sz w:val="24"/>
          <w:szCs w:val="24"/>
        </w:rPr>
        <w:lastRenderedPageBreak/>
        <w:t xml:space="preserve">Em comparação dos períodos analisados </w:t>
      </w:r>
      <w:r w:rsidR="0046785A" w:rsidRPr="0050036F">
        <w:rPr>
          <w:sz w:val="24"/>
          <w:szCs w:val="24"/>
        </w:rPr>
        <w:t xml:space="preserve">houve </w:t>
      </w:r>
      <w:r w:rsidRPr="0050036F">
        <w:rPr>
          <w:sz w:val="24"/>
          <w:szCs w:val="24"/>
        </w:rPr>
        <w:t>um aumento considerável da imprudência, de 2017 a 2019 representava 14,3% dos acidentes em comparação com o período onde a estava instalada a pandemia de 2020 a 2022 esse número aumentou para 22,2%.</w:t>
      </w:r>
      <w:r w:rsidR="00977244" w:rsidRPr="0050036F">
        <w:rPr>
          <w:sz w:val="24"/>
          <w:szCs w:val="24"/>
        </w:rPr>
        <w:t xml:space="preserve"> </w:t>
      </w:r>
      <w:r w:rsidR="002500F3" w:rsidRPr="0050036F">
        <w:rPr>
          <w:sz w:val="24"/>
          <w:szCs w:val="24"/>
        </w:rPr>
        <w:t xml:space="preserve">Mesmo com a citada duplicação da BR-376 a porcentagem de colisões frontais saiu de 7,0% no triênio anterior a pandemia para 14,3 durante o triênio pandêmico, segundo a CNT esse tipo de acidentes são mais comuns em rodovias de pista simples. A porcentagem de capotamento que era de 4,0% antes da pandemia caiu para 0,9% no período da pandemia.  </w:t>
      </w:r>
    </w:p>
    <w:p w:rsidR="00FF1583" w:rsidRPr="0050036F" w:rsidRDefault="00FF1583" w:rsidP="0050036F">
      <w:pPr>
        <w:spacing w:line="360" w:lineRule="auto"/>
        <w:jc w:val="both"/>
        <w:rPr>
          <w:sz w:val="24"/>
          <w:szCs w:val="24"/>
        </w:rPr>
      </w:pPr>
    </w:p>
    <w:p w:rsidR="00FF1583" w:rsidRPr="0050036F" w:rsidRDefault="00FF1583" w:rsidP="0050036F">
      <w:pPr>
        <w:spacing w:line="360" w:lineRule="auto"/>
        <w:ind w:firstLine="708"/>
        <w:jc w:val="both"/>
        <w:rPr>
          <w:b/>
          <w:sz w:val="24"/>
          <w:szCs w:val="24"/>
        </w:rPr>
      </w:pPr>
      <w:r w:rsidRPr="0050036F">
        <w:rPr>
          <w:b/>
          <w:sz w:val="24"/>
          <w:szCs w:val="24"/>
        </w:rPr>
        <w:t>CONCLUSÃO</w:t>
      </w:r>
    </w:p>
    <w:p w:rsidR="00FF1583" w:rsidRPr="0050036F" w:rsidRDefault="00FF1583" w:rsidP="0050036F">
      <w:pPr>
        <w:spacing w:line="360" w:lineRule="auto"/>
        <w:ind w:firstLine="708"/>
        <w:jc w:val="both"/>
        <w:rPr>
          <w:b/>
          <w:sz w:val="24"/>
          <w:szCs w:val="24"/>
        </w:rPr>
      </w:pPr>
    </w:p>
    <w:p w:rsidR="00FF1583" w:rsidRPr="0050036F" w:rsidRDefault="00FF1583" w:rsidP="0050036F">
      <w:pPr>
        <w:spacing w:line="360" w:lineRule="auto"/>
        <w:ind w:firstLine="708"/>
        <w:jc w:val="both"/>
        <w:rPr>
          <w:sz w:val="24"/>
          <w:szCs w:val="24"/>
        </w:rPr>
      </w:pPr>
      <w:r w:rsidRPr="0050036F">
        <w:rPr>
          <w:sz w:val="24"/>
          <w:szCs w:val="24"/>
        </w:rPr>
        <w:t>Foi observado que a pandemia não infl</w:t>
      </w:r>
      <w:r w:rsidR="004B50B4" w:rsidRPr="0050036F">
        <w:rPr>
          <w:sz w:val="24"/>
          <w:szCs w:val="24"/>
        </w:rPr>
        <w:t>uenciou tão incisivamente nos A</w:t>
      </w:r>
      <w:r w:rsidRPr="0050036F">
        <w:rPr>
          <w:sz w:val="24"/>
          <w:szCs w:val="24"/>
        </w:rPr>
        <w:t>T na regi</w:t>
      </w:r>
      <w:r w:rsidR="005F1380" w:rsidRPr="0050036F">
        <w:rPr>
          <w:sz w:val="24"/>
          <w:szCs w:val="24"/>
        </w:rPr>
        <w:t>ão do estudo, entretanto a queda acentuada do p</w:t>
      </w:r>
      <w:r w:rsidR="00E95543" w:rsidRPr="0050036F">
        <w:rPr>
          <w:sz w:val="24"/>
          <w:szCs w:val="24"/>
        </w:rPr>
        <w:t xml:space="preserve">rimeiro ano da duplicação da BR- </w:t>
      </w:r>
      <w:r w:rsidR="005F1380" w:rsidRPr="0050036F">
        <w:rPr>
          <w:sz w:val="24"/>
          <w:szCs w:val="24"/>
        </w:rPr>
        <w:t xml:space="preserve">376 principal rodovia de ligação entre Paranavaí em Maringá, com isso </w:t>
      </w:r>
      <w:r w:rsidR="0046785A" w:rsidRPr="0050036F">
        <w:rPr>
          <w:sz w:val="24"/>
          <w:szCs w:val="24"/>
        </w:rPr>
        <w:t xml:space="preserve">o estudo apontou </w:t>
      </w:r>
      <w:r w:rsidR="005F1380" w:rsidRPr="0050036F">
        <w:rPr>
          <w:sz w:val="24"/>
          <w:szCs w:val="24"/>
        </w:rPr>
        <w:t xml:space="preserve">que o investimento em duplicações resulta em menos risco de acidentes, portanto menos gastos com internamentos e menos óbitos. </w:t>
      </w:r>
    </w:p>
    <w:p w:rsidR="005F1380" w:rsidRPr="0050036F" w:rsidRDefault="00E95543" w:rsidP="0050036F">
      <w:pPr>
        <w:spacing w:line="360" w:lineRule="auto"/>
        <w:ind w:firstLine="708"/>
        <w:jc w:val="both"/>
        <w:rPr>
          <w:sz w:val="24"/>
          <w:szCs w:val="24"/>
        </w:rPr>
      </w:pPr>
      <w:r w:rsidRPr="0050036F">
        <w:rPr>
          <w:sz w:val="24"/>
          <w:szCs w:val="24"/>
        </w:rPr>
        <w:t xml:space="preserve">Apesar da duplicação a porcentagem de ilesos diminuiu, enquanto aumentou a porcentagem de vitimas graves e óbitos, proporcionalmente. Isso apresenta que no período pandêmico e mesmo com a liberação da duplicação da BR-376 os acidentes tenderam a ficar mais violentos reflexo do abuso ao volante. Destaca-se </w:t>
      </w:r>
      <w:r w:rsidR="005F1380" w:rsidRPr="0050036F">
        <w:rPr>
          <w:sz w:val="24"/>
          <w:szCs w:val="24"/>
        </w:rPr>
        <w:t xml:space="preserve"> que a falta de educação no trânsito e a falta de fiscalização precisam de uma atenção especial, o alto índice de acidentes causados por falta de atenção, imprudência e desrespeito as normas de trânsito são alarmante</w:t>
      </w:r>
      <w:r w:rsidR="007E3C35" w:rsidRPr="0050036F">
        <w:rPr>
          <w:sz w:val="24"/>
          <w:szCs w:val="24"/>
        </w:rPr>
        <w:t>s</w:t>
      </w:r>
      <w:r w:rsidR="0060654B" w:rsidRPr="0050036F">
        <w:rPr>
          <w:sz w:val="24"/>
          <w:szCs w:val="24"/>
        </w:rPr>
        <w:t xml:space="preserve"> e mais graves,</w:t>
      </w:r>
      <w:r w:rsidR="007E3C35" w:rsidRPr="0050036F">
        <w:rPr>
          <w:sz w:val="24"/>
          <w:szCs w:val="24"/>
        </w:rPr>
        <w:t xml:space="preserve"> e precisam de políticas pú</w:t>
      </w:r>
      <w:r w:rsidR="005F1380" w:rsidRPr="0050036F">
        <w:rPr>
          <w:sz w:val="24"/>
          <w:szCs w:val="24"/>
        </w:rPr>
        <w:t xml:space="preserve">blicas voltadas para esse intuito. </w:t>
      </w:r>
    </w:p>
    <w:p w:rsidR="005F1380" w:rsidRPr="0050036F" w:rsidRDefault="004B50B4" w:rsidP="0050036F">
      <w:pPr>
        <w:spacing w:line="360" w:lineRule="auto"/>
        <w:ind w:firstLine="708"/>
        <w:jc w:val="both"/>
        <w:rPr>
          <w:sz w:val="24"/>
          <w:szCs w:val="24"/>
        </w:rPr>
      </w:pPr>
      <w:r w:rsidRPr="0050036F">
        <w:rPr>
          <w:sz w:val="24"/>
          <w:szCs w:val="24"/>
        </w:rPr>
        <w:t>A maioria dos A</w:t>
      </w:r>
      <w:r w:rsidR="005F1380" w:rsidRPr="0050036F">
        <w:rPr>
          <w:sz w:val="24"/>
          <w:szCs w:val="24"/>
        </w:rPr>
        <w:t xml:space="preserve">T das </w:t>
      </w:r>
      <w:r w:rsidRPr="0050036F">
        <w:rPr>
          <w:sz w:val="24"/>
          <w:szCs w:val="24"/>
        </w:rPr>
        <w:t>r</w:t>
      </w:r>
      <w:r w:rsidR="005F1380" w:rsidRPr="0050036F">
        <w:rPr>
          <w:sz w:val="24"/>
          <w:szCs w:val="24"/>
        </w:rPr>
        <w:t xml:space="preserve">odovias da 14° Regional de Saúde aconteceram durante o dia e com o clima bom, </w:t>
      </w:r>
      <w:r w:rsidR="007E3C35" w:rsidRPr="0050036F">
        <w:rPr>
          <w:sz w:val="24"/>
          <w:szCs w:val="24"/>
        </w:rPr>
        <w:t xml:space="preserve">isso prova que fatores externos apesar de contribuir em alguns casos não são os principais determinantes dos acidentes. </w:t>
      </w:r>
    </w:p>
    <w:p w:rsidR="00746375" w:rsidRDefault="007E3C35" w:rsidP="0050036F">
      <w:pPr>
        <w:spacing w:line="360" w:lineRule="auto"/>
        <w:ind w:firstLine="708"/>
        <w:jc w:val="both"/>
        <w:rPr>
          <w:sz w:val="24"/>
          <w:szCs w:val="24"/>
        </w:rPr>
      </w:pPr>
      <w:r w:rsidRPr="0050036F">
        <w:rPr>
          <w:sz w:val="24"/>
          <w:szCs w:val="24"/>
        </w:rPr>
        <w:t xml:space="preserve">Por fim vale destacar que os acidentes de trânsito estão em quedas se observamos os dados, isso mostra que </w:t>
      </w:r>
      <w:r w:rsidR="004B50B4" w:rsidRPr="0050036F">
        <w:rPr>
          <w:sz w:val="24"/>
          <w:szCs w:val="24"/>
        </w:rPr>
        <w:t>os investimentos sejam</w:t>
      </w:r>
      <w:r w:rsidRPr="0050036F">
        <w:rPr>
          <w:sz w:val="24"/>
          <w:szCs w:val="24"/>
        </w:rPr>
        <w:t xml:space="preserve"> </w:t>
      </w:r>
      <w:r w:rsidR="004B50B4" w:rsidRPr="0050036F">
        <w:rPr>
          <w:sz w:val="24"/>
          <w:szCs w:val="24"/>
        </w:rPr>
        <w:t>nas áreas</w:t>
      </w:r>
      <w:r w:rsidRPr="0050036F">
        <w:rPr>
          <w:sz w:val="24"/>
          <w:szCs w:val="24"/>
        </w:rPr>
        <w:t xml:space="preserve"> da infraestrutura ou </w:t>
      </w:r>
      <w:r w:rsidR="004B50B4" w:rsidRPr="0050036F">
        <w:rPr>
          <w:sz w:val="24"/>
          <w:szCs w:val="24"/>
        </w:rPr>
        <w:t>nas áreas</w:t>
      </w:r>
      <w:r w:rsidR="00746375" w:rsidRPr="0050036F">
        <w:rPr>
          <w:sz w:val="24"/>
          <w:szCs w:val="24"/>
        </w:rPr>
        <w:t xml:space="preserve"> de educação e prevenção estão apresentando resultado, mesmo que seja modesto.</w:t>
      </w:r>
    </w:p>
    <w:p w:rsidR="00B63534" w:rsidRDefault="00B63534" w:rsidP="0050036F">
      <w:pPr>
        <w:spacing w:line="360" w:lineRule="auto"/>
        <w:ind w:firstLine="708"/>
        <w:jc w:val="both"/>
        <w:rPr>
          <w:sz w:val="24"/>
          <w:szCs w:val="24"/>
        </w:rPr>
      </w:pPr>
    </w:p>
    <w:p w:rsidR="00B63534" w:rsidRDefault="00B63534" w:rsidP="0050036F">
      <w:pPr>
        <w:spacing w:line="360" w:lineRule="auto"/>
        <w:ind w:firstLine="708"/>
        <w:jc w:val="both"/>
        <w:rPr>
          <w:sz w:val="24"/>
          <w:szCs w:val="24"/>
        </w:rPr>
      </w:pPr>
    </w:p>
    <w:p w:rsidR="00B63534" w:rsidRDefault="00B63534" w:rsidP="0050036F">
      <w:pPr>
        <w:spacing w:line="360" w:lineRule="auto"/>
        <w:ind w:firstLine="708"/>
        <w:jc w:val="both"/>
        <w:rPr>
          <w:sz w:val="24"/>
          <w:szCs w:val="24"/>
        </w:rPr>
      </w:pPr>
      <w:bookmarkStart w:id="2" w:name="_GoBack"/>
      <w:bookmarkEnd w:id="2"/>
    </w:p>
    <w:p w:rsidR="0050036F" w:rsidRDefault="0050036F" w:rsidP="0050036F">
      <w:pPr>
        <w:spacing w:line="360" w:lineRule="auto"/>
        <w:ind w:firstLine="708"/>
        <w:jc w:val="both"/>
        <w:rPr>
          <w:sz w:val="24"/>
          <w:szCs w:val="24"/>
        </w:rPr>
      </w:pPr>
    </w:p>
    <w:p w:rsidR="00394FDA" w:rsidRPr="0050036F" w:rsidRDefault="00394FDA" w:rsidP="0050036F">
      <w:pPr>
        <w:spacing w:line="360" w:lineRule="auto"/>
        <w:ind w:firstLine="708"/>
        <w:jc w:val="both"/>
        <w:rPr>
          <w:sz w:val="24"/>
          <w:szCs w:val="24"/>
        </w:rPr>
      </w:pPr>
    </w:p>
    <w:p w:rsidR="00746375" w:rsidRDefault="00BF7320" w:rsidP="00746375">
      <w:pPr>
        <w:spacing w:line="360" w:lineRule="auto"/>
        <w:jc w:val="both"/>
        <w:rPr>
          <w:b/>
          <w:sz w:val="24"/>
          <w:szCs w:val="24"/>
        </w:rPr>
      </w:pPr>
      <w:r w:rsidRPr="00DB3E48">
        <w:rPr>
          <w:b/>
          <w:sz w:val="24"/>
          <w:szCs w:val="24"/>
        </w:rPr>
        <w:lastRenderedPageBreak/>
        <w:t>REFERÊNCIAS BIBLIOGRÁFICAS</w:t>
      </w:r>
    </w:p>
    <w:p w:rsidR="0046785A" w:rsidRPr="00806F4E" w:rsidRDefault="0046785A" w:rsidP="00746375">
      <w:pPr>
        <w:spacing w:line="360" w:lineRule="auto"/>
        <w:jc w:val="both"/>
        <w:rPr>
          <w:color w:val="FF0000"/>
          <w:sz w:val="24"/>
          <w:szCs w:val="24"/>
        </w:rPr>
      </w:pPr>
    </w:p>
    <w:p w:rsidR="00746375" w:rsidRDefault="0046785A" w:rsidP="00746375">
      <w:pPr>
        <w:pStyle w:val="PargrafodaLista"/>
        <w:tabs>
          <w:tab w:val="left" w:pos="1301"/>
          <w:tab w:val="left" w:pos="1302"/>
        </w:tabs>
        <w:spacing w:before="180"/>
        <w:jc w:val="both"/>
      </w:pPr>
      <w:r w:rsidRPr="0046785A">
        <w:rPr>
          <w:b/>
        </w:rPr>
        <w:t>ALMEIDA</w:t>
      </w:r>
      <w:r>
        <w:t xml:space="preserve">, R. L. F. VIA, HOMEM E VEÍCULO: FATORES DE RISCO ASSOCIADOS À GRAVIDADE DOS ACIDENTES DE TRÂNSITO. Rev Saúde Pública, v.47, n. 4, p. 718-31, 2013. DOI: 10.1590/S0034-8910.2013047003657. Acesso em: 04 julho. 2024. </w:t>
      </w:r>
    </w:p>
    <w:p w:rsidR="0046785A" w:rsidRDefault="0046785A" w:rsidP="00746375">
      <w:pPr>
        <w:pStyle w:val="PargrafodaLista"/>
        <w:tabs>
          <w:tab w:val="left" w:pos="1301"/>
          <w:tab w:val="left" w:pos="1302"/>
        </w:tabs>
        <w:spacing w:before="180"/>
        <w:jc w:val="both"/>
      </w:pPr>
      <w:r w:rsidRPr="0046785A">
        <w:rPr>
          <w:b/>
        </w:rPr>
        <w:t>BRASIL</w:t>
      </w:r>
      <w:r>
        <w:t>. Ministério das Cidades. Departamento Nacional de Trânsito. Código de Trânsito Brasileiro. Lei n. 9.503, de 23 de setembro de 1997. Disponível em: http://www.planalto.gov.br/ccivil_03/leis/L9503Compilado.htm. Acesso em: 01 ago. 2024.</w:t>
      </w:r>
    </w:p>
    <w:p w:rsidR="0046785A" w:rsidRPr="00DB3E48" w:rsidRDefault="0046785A" w:rsidP="00746375">
      <w:pPr>
        <w:pStyle w:val="PargrafodaLista"/>
        <w:tabs>
          <w:tab w:val="left" w:pos="1301"/>
          <w:tab w:val="left" w:pos="1302"/>
        </w:tabs>
        <w:spacing w:before="180"/>
        <w:jc w:val="both"/>
        <w:rPr>
          <w:color w:val="FF0000"/>
        </w:rPr>
      </w:pPr>
    </w:p>
    <w:p w:rsidR="00746375" w:rsidRPr="00DB3E48" w:rsidRDefault="00746375" w:rsidP="00746375">
      <w:pPr>
        <w:spacing w:after="200" w:line="276" w:lineRule="auto"/>
        <w:ind w:left="720"/>
        <w:contextualSpacing/>
        <w:jc w:val="both"/>
        <w:rPr>
          <w:rFonts w:eastAsia="Calibri"/>
          <w:sz w:val="24"/>
          <w:szCs w:val="24"/>
        </w:rPr>
      </w:pPr>
      <w:r w:rsidRPr="00DB3E48">
        <w:rPr>
          <w:rFonts w:eastAsia="Calibri"/>
          <w:b/>
          <w:sz w:val="24"/>
          <w:szCs w:val="24"/>
        </w:rPr>
        <w:t>CARVALHO</w:t>
      </w:r>
      <w:r w:rsidRPr="00DB3E48">
        <w:rPr>
          <w:rFonts w:eastAsia="Calibri"/>
          <w:sz w:val="24"/>
          <w:szCs w:val="24"/>
        </w:rPr>
        <w:t>, C. H. CUSTOS DOS ACIDENTES DE TRÂNSITO NO BRASIL: ESTIMATIVA SIMPLIFICADA COM BASE NA ATUALIZAÇÃO DAS PESQUISAS DO IPEA SOBRE CUSTOS DE ACIDENTES NOS AGLOMERADOS URBANOS E RODOVIAS. Instituto de Pesquisa Econômica Aplicada.- Brasília : Rio de Janeiro : IPEA ,2020</w:t>
      </w:r>
    </w:p>
    <w:p w:rsidR="00746375" w:rsidRPr="00DB3E48" w:rsidRDefault="00746375" w:rsidP="00746375">
      <w:pPr>
        <w:spacing w:after="200" w:line="276" w:lineRule="auto"/>
        <w:ind w:left="720"/>
        <w:contextualSpacing/>
        <w:jc w:val="both"/>
        <w:rPr>
          <w:rFonts w:eastAsia="Calibri"/>
          <w:sz w:val="24"/>
          <w:szCs w:val="24"/>
        </w:rPr>
      </w:pPr>
    </w:p>
    <w:p w:rsidR="00746375" w:rsidRPr="00DB3E48" w:rsidRDefault="00746375" w:rsidP="00746375">
      <w:pPr>
        <w:spacing w:after="200" w:line="276" w:lineRule="auto"/>
        <w:ind w:left="720"/>
        <w:contextualSpacing/>
        <w:jc w:val="both"/>
        <w:rPr>
          <w:rFonts w:eastAsia="Calibri"/>
          <w:sz w:val="24"/>
          <w:szCs w:val="24"/>
        </w:rPr>
      </w:pPr>
      <w:r w:rsidRPr="00DB3E48">
        <w:rPr>
          <w:rFonts w:eastAsia="Calibri"/>
          <w:b/>
          <w:sz w:val="24"/>
          <w:szCs w:val="24"/>
        </w:rPr>
        <w:t>DEPARTAMENTO NACIONAL DE INFRAESTRUTURA DE TRANSPORTES (DNIT).</w:t>
      </w:r>
      <w:r w:rsidRPr="00DB3E48">
        <w:rPr>
          <w:rFonts w:eastAsia="Calibri"/>
          <w:sz w:val="24"/>
          <w:szCs w:val="24"/>
        </w:rPr>
        <w:t xml:space="preserve"> METODOLOGIA PARA IDENTIFICAÇÃO DE SEGMENTOS CRÍTICOS. IDENTIFICAÇÃO E PROPOSIÇÃO DE MELHORIAS EM SEGMENTOS CRÍTICOS DA MALHA RODOVIÁRIA FEDERAL DO DNIT. São Paulo, p. 18-22, 1 maio 2009</w:t>
      </w:r>
    </w:p>
    <w:p w:rsidR="00746375" w:rsidRPr="00DB3E48" w:rsidRDefault="00746375" w:rsidP="00746375">
      <w:pPr>
        <w:spacing w:after="200" w:line="276" w:lineRule="auto"/>
        <w:ind w:left="720"/>
        <w:contextualSpacing/>
        <w:jc w:val="both"/>
        <w:rPr>
          <w:rFonts w:eastAsia="Calibri"/>
          <w:sz w:val="24"/>
          <w:szCs w:val="24"/>
        </w:rPr>
      </w:pPr>
    </w:p>
    <w:p w:rsidR="00746375" w:rsidRPr="00DB3E48" w:rsidRDefault="00746375" w:rsidP="00746375">
      <w:pPr>
        <w:spacing w:after="200" w:line="276" w:lineRule="auto"/>
        <w:ind w:left="720"/>
        <w:contextualSpacing/>
        <w:jc w:val="both"/>
        <w:rPr>
          <w:rFonts w:eastAsia="Calibri"/>
          <w:sz w:val="24"/>
          <w:szCs w:val="24"/>
        </w:rPr>
      </w:pPr>
      <w:r w:rsidRPr="00DB3E48">
        <w:rPr>
          <w:rFonts w:eastAsia="Calibri"/>
          <w:b/>
          <w:sz w:val="24"/>
          <w:szCs w:val="24"/>
        </w:rPr>
        <w:t>GOVERNO FEDERAL</w:t>
      </w:r>
      <w:r w:rsidRPr="00DB3E48">
        <w:rPr>
          <w:rFonts w:eastAsia="Calibri"/>
          <w:sz w:val="24"/>
          <w:szCs w:val="24"/>
        </w:rPr>
        <w:t xml:space="preserve">, POLICIA RODOVIÁRIA FEDERAL. DADOS ABERTOS ACIDENTES DE TRÂNSITO </w:t>
      </w:r>
      <w:r w:rsidRPr="00DB3E48">
        <w:rPr>
          <w:rFonts w:eastAsia="Calibri"/>
          <w:b/>
          <w:sz w:val="24"/>
          <w:szCs w:val="24"/>
        </w:rPr>
        <w:t xml:space="preserve"> </w:t>
      </w:r>
      <w:r w:rsidRPr="00DB3E48">
        <w:rPr>
          <w:rFonts w:eastAsia="Calibri"/>
          <w:sz w:val="24"/>
          <w:szCs w:val="24"/>
        </w:rPr>
        <w:t>. Disponível em</w:t>
      </w:r>
      <w:r w:rsidRPr="009F508F">
        <w:rPr>
          <w:rFonts w:eastAsia="Calibri"/>
          <w:sz w:val="24"/>
          <w:szCs w:val="24"/>
        </w:rPr>
        <w:t xml:space="preserve">: </w:t>
      </w:r>
      <w:hyperlink r:id="rId9" w:history="1">
        <w:r w:rsidRPr="009F508F">
          <w:rPr>
            <w:rFonts w:eastAsia="Calibri"/>
            <w:sz w:val="24"/>
            <w:szCs w:val="24"/>
          </w:rPr>
          <w:t>https://www.gov.br/prf/pt-br/acesso-a-informacao/dados-abertos/dados-abertos-acidentes</w:t>
        </w:r>
      </w:hyperlink>
      <w:r w:rsidRPr="009F508F">
        <w:rPr>
          <w:rFonts w:eastAsia="Calibri"/>
          <w:sz w:val="24"/>
          <w:szCs w:val="24"/>
        </w:rPr>
        <w:t>.</w:t>
      </w:r>
      <w:r w:rsidRPr="00DB3E48">
        <w:rPr>
          <w:rFonts w:eastAsia="Calibri"/>
          <w:sz w:val="24"/>
          <w:szCs w:val="24"/>
        </w:rPr>
        <w:t xml:space="preserve"> Acesso em: 22, nov, 2022.</w:t>
      </w:r>
    </w:p>
    <w:p w:rsidR="00746375" w:rsidRPr="00DB3E48" w:rsidRDefault="00746375" w:rsidP="00746375">
      <w:pPr>
        <w:spacing w:after="200" w:line="276" w:lineRule="auto"/>
        <w:ind w:left="720"/>
        <w:contextualSpacing/>
        <w:jc w:val="both"/>
        <w:rPr>
          <w:rFonts w:eastAsia="Calibri"/>
          <w:sz w:val="24"/>
          <w:szCs w:val="24"/>
        </w:rPr>
      </w:pPr>
    </w:p>
    <w:p w:rsidR="00746375" w:rsidRPr="00DB3E48" w:rsidRDefault="00746375" w:rsidP="00746375">
      <w:pPr>
        <w:spacing w:after="200" w:line="276" w:lineRule="auto"/>
        <w:ind w:left="720"/>
        <w:contextualSpacing/>
        <w:jc w:val="both"/>
        <w:rPr>
          <w:rFonts w:eastAsia="Calibri"/>
          <w:sz w:val="24"/>
          <w:szCs w:val="24"/>
        </w:rPr>
      </w:pPr>
      <w:r w:rsidRPr="00DB3E48">
        <w:rPr>
          <w:rFonts w:eastAsia="Calibri"/>
          <w:b/>
          <w:sz w:val="24"/>
          <w:szCs w:val="24"/>
        </w:rPr>
        <w:t>GOVERNO FEDERAL</w:t>
      </w:r>
      <w:r w:rsidRPr="00DB3E48">
        <w:rPr>
          <w:rFonts w:eastAsia="Calibri"/>
          <w:sz w:val="24"/>
          <w:szCs w:val="24"/>
        </w:rPr>
        <w:t xml:space="preserve">. CONTRAN. TABELA DE CLASSIFICAÇÃO DE VEICULOS   Disponível em:https://www.gov.br/transportes/pt-br/pt-br/assuntos/transito/conteudocontran/resolucoes/Resolucao9162022ANEXO.pdf  Acesso Em: 4, fev,2023. </w:t>
      </w:r>
    </w:p>
    <w:p w:rsidR="00DB3E48" w:rsidRPr="00DB3E48" w:rsidRDefault="00DB3E48" w:rsidP="00746375">
      <w:pPr>
        <w:spacing w:after="200" w:line="276" w:lineRule="auto"/>
        <w:ind w:left="720"/>
        <w:contextualSpacing/>
        <w:jc w:val="both"/>
        <w:rPr>
          <w:rFonts w:eastAsia="Calibri"/>
          <w:sz w:val="24"/>
          <w:szCs w:val="24"/>
        </w:rPr>
      </w:pPr>
    </w:p>
    <w:p w:rsidR="00DB3E48" w:rsidRPr="00DB3E48" w:rsidRDefault="00DB3E48" w:rsidP="00DB3E48">
      <w:pPr>
        <w:spacing w:after="200" w:line="276" w:lineRule="auto"/>
        <w:ind w:left="720"/>
        <w:contextualSpacing/>
        <w:jc w:val="both"/>
        <w:rPr>
          <w:rFonts w:eastAsia="Calibri"/>
          <w:sz w:val="24"/>
          <w:szCs w:val="24"/>
        </w:rPr>
      </w:pPr>
      <w:r w:rsidRPr="00DB3E48">
        <w:rPr>
          <w:rFonts w:eastAsia="Calibri"/>
          <w:b/>
          <w:sz w:val="24"/>
          <w:szCs w:val="24"/>
        </w:rPr>
        <w:t>GOVERNO DO PARANÁ</w:t>
      </w:r>
      <w:r w:rsidRPr="00DB3E48">
        <w:rPr>
          <w:rFonts w:eastAsia="Calibri"/>
          <w:sz w:val="24"/>
          <w:szCs w:val="24"/>
        </w:rPr>
        <w:t>. SECRETARIA DE ESTADO DA SAÚDE. DIRETORIA DE ATENÇÃO E VIGILÂNCIA EMSAÚDE. BASE DE DADOS ESTADUAL SESA/SIM ESTADUAL/DATASUS/MS).INFORMAÇÕES SOBRE MORTALIDADE – PARANÁ.</w:t>
      </w:r>
    </w:p>
    <w:p w:rsidR="00746375" w:rsidRPr="00DB3E48" w:rsidRDefault="00746375" w:rsidP="00746375">
      <w:pPr>
        <w:spacing w:after="200" w:line="276" w:lineRule="auto"/>
        <w:ind w:left="720"/>
        <w:contextualSpacing/>
        <w:jc w:val="both"/>
        <w:rPr>
          <w:rFonts w:eastAsia="Calibri"/>
          <w:sz w:val="24"/>
          <w:szCs w:val="24"/>
        </w:rPr>
      </w:pPr>
    </w:p>
    <w:p w:rsidR="00746375" w:rsidRDefault="00DB3E48" w:rsidP="00746375">
      <w:pPr>
        <w:spacing w:after="200" w:line="276" w:lineRule="auto"/>
        <w:ind w:left="720"/>
        <w:contextualSpacing/>
        <w:jc w:val="both"/>
        <w:rPr>
          <w:rFonts w:eastAsia="Calibri"/>
          <w:sz w:val="24"/>
          <w:szCs w:val="24"/>
        </w:rPr>
      </w:pPr>
      <w:r w:rsidRPr="00DB3E48">
        <w:rPr>
          <w:rFonts w:eastAsia="Calibri"/>
          <w:b/>
          <w:sz w:val="24"/>
          <w:szCs w:val="24"/>
        </w:rPr>
        <w:t>GOVERNO</w:t>
      </w:r>
      <w:r w:rsidR="00746375" w:rsidRPr="00DB3E48">
        <w:rPr>
          <w:rFonts w:eastAsia="Calibri"/>
          <w:b/>
          <w:sz w:val="24"/>
          <w:szCs w:val="24"/>
        </w:rPr>
        <w:t xml:space="preserve"> DO PARANÁ</w:t>
      </w:r>
      <w:r w:rsidR="00746375" w:rsidRPr="00DB3E48">
        <w:rPr>
          <w:rFonts w:eastAsia="Calibri"/>
          <w:sz w:val="24"/>
          <w:szCs w:val="24"/>
        </w:rPr>
        <w:t>. RELATORIO DO SISTEMA DE INTERNAÇÕES HOSPITALARES (SIH). Disponivél em: aen.pr.gov.br/Noticia/Acidentes-de-transito-geraram-custo-de-R-36-milhoes-ao-SUS-apenas-entre-2022-e-2023 acesso 16/07/2024</w:t>
      </w:r>
    </w:p>
    <w:p w:rsidR="00075912" w:rsidRDefault="00075912" w:rsidP="00746375">
      <w:pPr>
        <w:spacing w:after="200" w:line="276" w:lineRule="auto"/>
        <w:ind w:left="720"/>
        <w:contextualSpacing/>
        <w:jc w:val="both"/>
        <w:rPr>
          <w:rFonts w:eastAsia="Calibri"/>
          <w:sz w:val="24"/>
          <w:szCs w:val="24"/>
        </w:rPr>
      </w:pPr>
    </w:p>
    <w:p w:rsidR="00075912" w:rsidRDefault="00075912" w:rsidP="00746375">
      <w:pPr>
        <w:spacing w:after="200" w:line="276" w:lineRule="auto"/>
        <w:ind w:left="720"/>
        <w:contextualSpacing/>
        <w:jc w:val="both"/>
        <w:rPr>
          <w:rFonts w:eastAsia="Calibri"/>
          <w:sz w:val="24"/>
          <w:szCs w:val="24"/>
        </w:rPr>
      </w:pPr>
      <w:r w:rsidRPr="00075912">
        <w:rPr>
          <w:rFonts w:eastAsia="Calibri"/>
          <w:b/>
          <w:sz w:val="24"/>
          <w:szCs w:val="24"/>
        </w:rPr>
        <w:lastRenderedPageBreak/>
        <w:t>IBGE</w:t>
      </w:r>
      <w:r>
        <w:rPr>
          <w:rFonts w:eastAsia="Calibri"/>
          <w:sz w:val="24"/>
          <w:szCs w:val="24"/>
        </w:rPr>
        <w:t xml:space="preserve">, INTITUTO BRASILEIRO DE GEOGRAFIA E ESTATÍSTICA, Censo Brasileiro de 2022, disponível em: </w:t>
      </w:r>
      <w:hyperlink r:id="rId10" w:history="1">
        <w:r w:rsidRPr="00075912">
          <w:rPr>
            <w:rStyle w:val="Hyperlink"/>
            <w:rFonts w:eastAsia="Calibri"/>
            <w:color w:val="auto"/>
            <w:sz w:val="24"/>
            <w:szCs w:val="24"/>
            <w:u w:val="none"/>
          </w:rPr>
          <w:t>https://www.ibge.gov.br/cidades-e-estados/pr/paranavai.html</w:t>
        </w:r>
      </w:hyperlink>
      <w:r>
        <w:rPr>
          <w:rFonts w:eastAsia="Calibri"/>
          <w:sz w:val="24"/>
          <w:szCs w:val="24"/>
        </w:rPr>
        <w:t xml:space="preserve"> acesso 07 de julho de 2024.</w:t>
      </w:r>
    </w:p>
    <w:p w:rsidR="00746375" w:rsidRPr="00DB3E48" w:rsidRDefault="00746375" w:rsidP="00075912">
      <w:pPr>
        <w:spacing w:after="200" w:line="276" w:lineRule="auto"/>
        <w:contextualSpacing/>
        <w:jc w:val="both"/>
        <w:rPr>
          <w:rFonts w:eastAsia="Calibri"/>
          <w:sz w:val="24"/>
          <w:szCs w:val="24"/>
        </w:rPr>
      </w:pPr>
    </w:p>
    <w:p w:rsidR="00746375" w:rsidRPr="00DB3E48" w:rsidRDefault="00746375" w:rsidP="00746375">
      <w:pPr>
        <w:spacing w:after="200" w:line="276" w:lineRule="auto"/>
        <w:ind w:left="720"/>
        <w:contextualSpacing/>
        <w:jc w:val="both"/>
        <w:rPr>
          <w:rFonts w:eastAsia="Calibri"/>
          <w:sz w:val="24"/>
          <w:szCs w:val="24"/>
        </w:rPr>
      </w:pPr>
      <w:r w:rsidRPr="00DB3E48">
        <w:rPr>
          <w:rFonts w:eastAsia="Calibri"/>
          <w:b/>
          <w:sz w:val="24"/>
          <w:szCs w:val="24"/>
        </w:rPr>
        <w:t>LAURENTI</w:t>
      </w:r>
      <w:r w:rsidRPr="00DB3E48">
        <w:rPr>
          <w:rFonts w:eastAsia="Calibri"/>
          <w:sz w:val="24"/>
          <w:szCs w:val="24"/>
        </w:rPr>
        <w:t xml:space="preserve"> R, Mello Jorge MHP, Gotlieb SLD. MORTALIDADE SEGUNDO CAUSAS: CONSIDERAÇÕES SOBRE A FIDEDIGNIDADE DOS DADOS</w:t>
      </w:r>
      <w:r w:rsidRPr="00DB3E48">
        <w:rPr>
          <w:rFonts w:eastAsia="Calibri"/>
          <w:b/>
          <w:sz w:val="24"/>
          <w:szCs w:val="24"/>
        </w:rPr>
        <w:t>.</w:t>
      </w:r>
      <w:r w:rsidRPr="00DB3E48">
        <w:rPr>
          <w:rFonts w:eastAsia="Calibri"/>
          <w:sz w:val="24"/>
          <w:szCs w:val="24"/>
        </w:rPr>
        <w:t xml:space="preserve"> Rev Panam Salud Publica. 2008;23(5):349-56</w:t>
      </w:r>
    </w:p>
    <w:p w:rsidR="00746375" w:rsidRPr="00DB3E48" w:rsidRDefault="00746375" w:rsidP="00746375">
      <w:pPr>
        <w:spacing w:after="200" w:line="276" w:lineRule="auto"/>
        <w:ind w:left="720"/>
        <w:contextualSpacing/>
        <w:jc w:val="both"/>
        <w:rPr>
          <w:rFonts w:eastAsia="Calibri"/>
          <w:sz w:val="24"/>
          <w:szCs w:val="24"/>
        </w:rPr>
      </w:pPr>
    </w:p>
    <w:p w:rsidR="00746375" w:rsidRPr="00DB3E48" w:rsidRDefault="0046785A" w:rsidP="009F508F">
      <w:pPr>
        <w:spacing w:after="200" w:line="276" w:lineRule="auto"/>
        <w:ind w:left="720"/>
        <w:contextualSpacing/>
        <w:jc w:val="both"/>
        <w:rPr>
          <w:rFonts w:eastAsia="Calibri"/>
          <w:sz w:val="24"/>
          <w:szCs w:val="24"/>
        </w:rPr>
      </w:pPr>
      <w:r>
        <w:rPr>
          <w:rFonts w:eastAsia="Calibri"/>
          <w:b/>
          <w:sz w:val="24"/>
          <w:szCs w:val="24"/>
        </w:rPr>
        <w:t>MARINS</w:t>
      </w:r>
      <w:r w:rsidR="00746375" w:rsidRPr="00DB3E48">
        <w:rPr>
          <w:rFonts w:eastAsia="Calibri"/>
          <w:sz w:val="24"/>
          <w:szCs w:val="24"/>
        </w:rPr>
        <w:t xml:space="preserve"> E</w:t>
      </w:r>
      <w:r>
        <w:rPr>
          <w:rFonts w:eastAsia="Calibri"/>
          <w:sz w:val="24"/>
          <w:szCs w:val="24"/>
        </w:rPr>
        <w:t>.</w:t>
      </w:r>
      <w:r w:rsidR="00746375" w:rsidRPr="00DB3E48">
        <w:rPr>
          <w:rFonts w:eastAsia="Calibri"/>
          <w:sz w:val="24"/>
          <w:szCs w:val="24"/>
        </w:rPr>
        <w:t xml:space="preserve">F, Del Vecchio FB. PROGRAMA PATRULHA DA SAÚDE: INDICADORES DE SAÚDE EM POLICIAIS RODOVIÁRIOS FEDERAIS.  Rev Scientia </w:t>
      </w:r>
      <w:r w:rsidR="009F508F">
        <w:rPr>
          <w:rFonts w:eastAsia="Calibri"/>
          <w:sz w:val="24"/>
          <w:szCs w:val="24"/>
        </w:rPr>
        <w:t>Med (Porto Alegre). 25-27  2017</w:t>
      </w:r>
    </w:p>
    <w:p w:rsidR="00746375" w:rsidRDefault="00746375" w:rsidP="00746375">
      <w:pPr>
        <w:spacing w:after="200" w:line="276" w:lineRule="auto"/>
        <w:ind w:left="720"/>
        <w:contextualSpacing/>
        <w:jc w:val="both"/>
        <w:rPr>
          <w:rFonts w:eastAsia="Calibri"/>
          <w:sz w:val="24"/>
          <w:szCs w:val="24"/>
        </w:rPr>
      </w:pPr>
    </w:p>
    <w:p w:rsidR="006C19D2" w:rsidRDefault="006C19D2" w:rsidP="006C19D2">
      <w:pPr>
        <w:spacing w:after="200" w:line="276" w:lineRule="auto"/>
        <w:ind w:left="720"/>
        <w:contextualSpacing/>
        <w:jc w:val="both"/>
        <w:rPr>
          <w:rFonts w:eastAsia="Calibri"/>
          <w:sz w:val="24"/>
          <w:szCs w:val="24"/>
        </w:rPr>
      </w:pPr>
      <w:r>
        <w:rPr>
          <w:rFonts w:eastAsia="Calibri"/>
          <w:sz w:val="24"/>
          <w:szCs w:val="24"/>
        </w:rPr>
        <w:t xml:space="preserve">PARANÁ, GOVERNO DO ESTADO, AGÊNCIA ESTADUAL DE  NOTÍCIAS, HISTORICO DE 2011 A 2018, disponível em </w:t>
      </w:r>
      <w:hyperlink r:id="rId11" w:history="1">
        <w:r w:rsidR="00075912" w:rsidRPr="00075912">
          <w:rPr>
            <w:rStyle w:val="Hyperlink"/>
            <w:rFonts w:eastAsia="Calibri"/>
            <w:color w:val="auto"/>
            <w:sz w:val="24"/>
            <w:szCs w:val="24"/>
            <w:u w:val="none"/>
          </w:rPr>
          <w:t>https://arquivo2011.aen.pr.gov.br/Noticia/Duplicacao-de-trecho-de-33-quilometros-da-BR-376-entra-na-etapa-final</w:t>
        </w:r>
      </w:hyperlink>
      <w:r w:rsidR="00075912" w:rsidRPr="00075912">
        <w:rPr>
          <w:rFonts w:eastAsia="Calibri"/>
          <w:sz w:val="24"/>
          <w:szCs w:val="24"/>
        </w:rPr>
        <w:t>,</w:t>
      </w:r>
      <w:r w:rsidR="00075912">
        <w:rPr>
          <w:rFonts w:eastAsia="Calibri"/>
          <w:sz w:val="24"/>
          <w:szCs w:val="24"/>
        </w:rPr>
        <w:t xml:space="preserve"> acesso em 01 de setembro de 2024</w:t>
      </w:r>
    </w:p>
    <w:p w:rsidR="006C19D2" w:rsidRPr="00DB3E48" w:rsidRDefault="006C19D2" w:rsidP="00746375">
      <w:pPr>
        <w:spacing w:after="200" w:line="276" w:lineRule="auto"/>
        <w:ind w:left="720"/>
        <w:contextualSpacing/>
        <w:jc w:val="both"/>
        <w:rPr>
          <w:rFonts w:eastAsia="Calibri"/>
          <w:sz w:val="24"/>
          <w:szCs w:val="24"/>
        </w:rPr>
      </w:pPr>
    </w:p>
    <w:p w:rsidR="00746375" w:rsidRPr="00DB3E48" w:rsidRDefault="00746375" w:rsidP="00746375">
      <w:pPr>
        <w:spacing w:after="200" w:line="276" w:lineRule="auto"/>
        <w:ind w:left="720"/>
        <w:contextualSpacing/>
        <w:jc w:val="both"/>
        <w:rPr>
          <w:rFonts w:eastAsia="Calibri"/>
          <w:sz w:val="24"/>
          <w:szCs w:val="24"/>
        </w:rPr>
      </w:pPr>
      <w:r w:rsidRPr="00DB3E48">
        <w:rPr>
          <w:rFonts w:eastAsia="Calibri"/>
          <w:b/>
          <w:sz w:val="24"/>
          <w:szCs w:val="24"/>
        </w:rPr>
        <w:t>SENADO FEDERAL</w:t>
      </w:r>
      <w:r w:rsidRPr="00DB3E48">
        <w:rPr>
          <w:rFonts w:eastAsia="Calibri"/>
          <w:sz w:val="24"/>
          <w:szCs w:val="24"/>
        </w:rPr>
        <w:t>. ESTUDO DA ORGANIZAÇÃO MUNDIAL DA SAÚDE (OMS) SOBRE MORTES POR ACIDENTES DE TRÂNSITO EM 178 PAÍSES É BASE PARA DÉCADA DE AÇÕES PARA SEGURANÇA. EM DISCUSSÃO: Revista de audiências públicas do Senado Federal, Brasília, v. 13, nov. 2012. Trimestral</w:t>
      </w:r>
    </w:p>
    <w:p w:rsidR="00746375" w:rsidRPr="00DB3E48" w:rsidRDefault="00746375" w:rsidP="00746375">
      <w:pPr>
        <w:spacing w:after="200" w:line="276" w:lineRule="auto"/>
        <w:jc w:val="both"/>
        <w:rPr>
          <w:rFonts w:eastAsia="Calibri"/>
          <w:sz w:val="24"/>
          <w:szCs w:val="24"/>
        </w:rPr>
      </w:pPr>
    </w:p>
    <w:p w:rsidR="00746375" w:rsidRDefault="00746375" w:rsidP="00746375">
      <w:pPr>
        <w:spacing w:after="200" w:line="276" w:lineRule="auto"/>
        <w:ind w:left="720"/>
        <w:contextualSpacing/>
        <w:jc w:val="both"/>
        <w:rPr>
          <w:rFonts w:eastAsia="Calibri"/>
          <w:sz w:val="24"/>
          <w:szCs w:val="24"/>
        </w:rPr>
      </w:pPr>
      <w:r w:rsidRPr="00DB3E48">
        <w:rPr>
          <w:rFonts w:eastAsia="Calibri"/>
          <w:b/>
          <w:sz w:val="24"/>
          <w:szCs w:val="24"/>
        </w:rPr>
        <w:t>SILVA</w:t>
      </w:r>
      <w:r w:rsidRPr="00DB3E48">
        <w:rPr>
          <w:rFonts w:eastAsia="Calibri"/>
          <w:sz w:val="24"/>
          <w:szCs w:val="24"/>
        </w:rPr>
        <w:t>, M. M. A.: PROGRAMA VIDA NO TRÂNSITO – 2010 A2012: UMA CONTRIBUIÇÃO PARA A DÉCADA DE AÇÕES PARA A SEGURANÇA NOT RÂNSITO 2011-2020 NO BRASIL. Epidemiologia em Serviço de Saúde, BRASÍLIA, V.22, N. 3, P. 531-536, JUL.-SET. 2013</w:t>
      </w:r>
    </w:p>
    <w:p w:rsidR="009F508F" w:rsidRDefault="009F508F" w:rsidP="00746375">
      <w:pPr>
        <w:spacing w:after="200" w:line="276" w:lineRule="auto"/>
        <w:ind w:left="720"/>
        <w:contextualSpacing/>
        <w:jc w:val="both"/>
        <w:rPr>
          <w:rFonts w:eastAsia="Calibri"/>
          <w:sz w:val="24"/>
          <w:szCs w:val="24"/>
        </w:rPr>
      </w:pPr>
    </w:p>
    <w:p w:rsidR="009F508F" w:rsidRPr="00DB3E48" w:rsidRDefault="009F508F" w:rsidP="00746375">
      <w:pPr>
        <w:spacing w:after="200" w:line="276" w:lineRule="auto"/>
        <w:ind w:left="720"/>
        <w:contextualSpacing/>
        <w:jc w:val="both"/>
        <w:rPr>
          <w:rFonts w:eastAsia="Calibri"/>
          <w:sz w:val="24"/>
          <w:szCs w:val="24"/>
        </w:rPr>
      </w:pPr>
      <w:r>
        <w:rPr>
          <w:rFonts w:eastAsia="Calibri"/>
          <w:sz w:val="24"/>
          <w:szCs w:val="24"/>
        </w:rPr>
        <w:t xml:space="preserve">TEIXEIRA, E.M.B: </w:t>
      </w:r>
      <w:r w:rsidRPr="009F508F">
        <w:rPr>
          <w:rFonts w:eastAsia="Calibri"/>
          <w:sz w:val="24"/>
          <w:szCs w:val="24"/>
        </w:rPr>
        <w:t>RESSE E ACIDENTES DE TRÂNSITO: REVISÃO SISTEMÁTICA E ADAPTAÇÃO TRANSCULTURAL DO QUESTIONÁRIO DRIVER STRESS INVENTORY PARA O BRASIL</w:t>
      </w:r>
      <w:r>
        <w:rPr>
          <w:rFonts w:eastAsia="Calibri"/>
          <w:sz w:val="24"/>
          <w:szCs w:val="24"/>
        </w:rPr>
        <w:t>. Universidade Estadual de Londrina, 273f. II. Londrina 2022</w:t>
      </w:r>
    </w:p>
    <w:p w:rsidR="00746375" w:rsidRPr="0002243A" w:rsidRDefault="00746375" w:rsidP="00746375">
      <w:pPr>
        <w:pStyle w:val="PargrafodaLista"/>
        <w:tabs>
          <w:tab w:val="left" w:pos="1301"/>
          <w:tab w:val="left" w:pos="1302"/>
        </w:tabs>
        <w:spacing w:before="180"/>
        <w:rPr>
          <w:color w:val="FF0000"/>
        </w:rPr>
      </w:pPr>
    </w:p>
    <w:p w:rsidR="00BF7320" w:rsidRPr="00262AC4" w:rsidRDefault="00BF7320" w:rsidP="006A2C5F">
      <w:pPr>
        <w:jc w:val="right"/>
        <w:rPr>
          <w:sz w:val="24"/>
          <w:szCs w:val="24"/>
        </w:rPr>
      </w:pPr>
    </w:p>
    <w:sectPr w:rsidR="00BF7320" w:rsidRPr="00262AC4" w:rsidSect="00BC1041">
      <w:headerReference w:type="default" r:id="rId12"/>
      <w:footerReference w:type="default" r:id="rId13"/>
      <w:type w:val="continuous"/>
      <w:pgSz w:w="11906" w:h="16838"/>
      <w:pgMar w:top="1701" w:right="1134" w:bottom="1418" w:left="1701" w:header="709" w:footer="4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75D" w:rsidRDefault="003E175D">
      <w:r>
        <w:separator/>
      </w:r>
    </w:p>
  </w:endnote>
  <w:endnote w:type="continuationSeparator" w:id="0">
    <w:p w:rsidR="003E175D" w:rsidRDefault="003E1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AD0" w:rsidRPr="0024403B" w:rsidRDefault="003E175D">
    <w:pPr>
      <w:pStyle w:val="Rodap"/>
      <w:jc w:val="right"/>
      <w:rPr>
        <w:sz w:val="22"/>
        <w:szCs w:val="22"/>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293.7pt;margin-top:9.95pt;width:79.5pt;height:34pt;z-index:2">
          <v:imagedata r:id="rId1" o:title=""/>
        </v:shape>
      </w:pict>
    </w:r>
    <w:r>
      <w:rPr>
        <w:noProof/>
        <w:sz w:val="28"/>
        <w:szCs w:val="28"/>
      </w:rPr>
      <w:pict>
        <v:shape id="Imagem 2" o:spid="_x0000_s2075" type="#_x0000_t75" alt="Texto&#10;&#10;Descrição gerada automaticamente" style="position:absolute;left:0;text-align:left;margin-left:159.7pt;margin-top:2.2pt;width:96.1pt;height:43.1pt;z-index:3;visibility:visible">
          <v:imagedata r:id="rId2" o:title="Texto&#10;&#10;Descrição gerada automaticamente"/>
        </v:shape>
      </w:pict>
    </w:r>
    <w:r>
      <w:rPr>
        <w:noProof/>
        <w:sz w:val="28"/>
        <w:szCs w:val="28"/>
      </w:rPr>
      <w:pict>
        <v:shape id="_x0000_s2074" type="#_x0000_t75" alt="Logotipo, nome da empresa&#10;&#10;Descrição gerada automaticamente" style="position:absolute;left:0;text-align:left;margin-left:41.25pt;margin-top:-8.3pt;width:88.7pt;height:57.45pt;z-index:-1;visibility:visible">
          <v:imagedata r:id="rId3" o:title="Logotipo, nome da empresa&#10;&#10;Descrição gerada automaticamente"/>
        </v:shape>
      </w:pict>
    </w:r>
    <w:r>
      <w:rPr>
        <w:sz w:val="28"/>
        <w:szCs w:val="28"/>
      </w:rPr>
      <w:pict>
        <v:shape id="_x0000_s2055" type="#_x0000_t75" style="position:absolute;left:0;text-align:left;margin-left:84.75pt;margin-top:255.75pt;width:129.7pt;height:55.5pt;z-index:1">
          <v:imagedata r:id="rId4" o:title=""/>
        </v:shape>
      </w:pict>
    </w:r>
    <w:r w:rsidR="004D0AD0" w:rsidRPr="0024403B">
      <w:rPr>
        <w:sz w:val="22"/>
        <w:szCs w:val="22"/>
      </w:rPr>
      <w:t xml:space="preserve">Página </w:t>
    </w:r>
    <w:r w:rsidR="004D0AD0" w:rsidRPr="0024403B">
      <w:rPr>
        <w:b/>
        <w:bCs/>
        <w:sz w:val="22"/>
        <w:szCs w:val="22"/>
      </w:rPr>
      <w:fldChar w:fldCharType="begin"/>
    </w:r>
    <w:r w:rsidR="004D0AD0" w:rsidRPr="0024403B">
      <w:rPr>
        <w:b/>
        <w:bCs/>
        <w:sz w:val="22"/>
        <w:szCs w:val="22"/>
      </w:rPr>
      <w:instrText>PAGE</w:instrText>
    </w:r>
    <w:r w:rsidR="004D0AD0" w:rsidRPr="0024403B">
      <w:rPr>
        <w:b/>
        <w:bCs/>
        <w:sz w:val="22"/>
        <w:szCs w:val="22"/>
      </w:rPr>
      <w:fldChar w:fldCharType="separate"/>
    </w:r>
    <w:r w:rsidR="00B63534">
      <w:rPr>
        <w:b/>
        <w:bCs/>
        <w:noProof/>
        <w:sz w:val="22"/>
        <w:szCs w:val="22"/>
      </w:rPr>
      <w:t>12</w:t>
    </w:r>
    <w:r w:rsidR="004D0AD0" w:rsidRPr="0024403B">
      <w:rPr>
        <w:b/>
        <w:bCs/>
        <w:sz w:val="22"/>
        <w:szCs w:val="22"/>
      </w:rPr>
      <w:fldChar w:fldCharType="end"/>
    </w:r>
    <w:r w:rsidR="004D0AD0" w:rsidRPr="0024403B">
      <w:rPr>
        <w:sz w:val="22"/>
        <w:szCs w:val="22"/>
      </w:rPr>
      <w:t xml:space="preserve"> de </w:t>
    </w:r>
    <w:r w:rsidR="004D0AD0" w:rsidRPr="0024403B">
      <w:rPr>
        <w:b/>
        <w:bCs/>
        <w:sz w:val="22"/>
        <w:szCs w:val="22"/>
      </w:rPr>
      <w:fldChar w:fldCharType="begin"/>
    </w:r>
    <w:r w:rsidR="004D0AD0" w:rsidRPr="0024403B">
      <w:rPr>
        <w:b/>
        <w:bCs/>
        <w:sz w:val="22"/>
        <w:szCs w:val="22"/>
      </w:rPr>
      <w:instrText>NUMPAGES</w:instrText>
    </w:r>
    <w:r w:rsidR="004D0AD0" w:rsidRPr="0024403B">
      <w:rPr>
        <w:b/>
        <w:bCs/>
        <w:sz w:val="22"/>
        <w:szCs w:val="22"/>
      </w:rPr>
      <w:fldChar w:fldCharType="separate"/>
    </w:r>
    <w:r w:rsidR="00B63534">
      <w:rPr>
        <w:b/>
        <w:bCs/>
        <w:noProof/>
        <w:sz w:val="22"/>
        <w:szCs w:val="22"/>
      </w:rPr>
      <w:t>12</w:t>
    </w:r>
    <w:r w:rsidR="004D0AD0" w:rsidRPr="0024403B">
      <w:rPr>
        <w:b/>
        <w:bCs/>
        <w:sz w:val="22"/>
        <w:szCs w:val="22"/>
      </w:rPr>
      <w:fldChar w:fldCharType="end"/>
    </w:r>
  </w:p>
  <w:p w:rsidR="004D0AD0" w:rsidRPr="0024403B" w:rsidRDefault="004D0AD0">
    <w:pPr>
      <w:pStyle w:val="Rodap"/>
      <w:rPr>
        <w:sz w:val="22"/>
        <w:szCs w:val="22"/>
      </w:rPr>
    </w:pPr>
    <w:r w:rsidRPr="0024403B">
      <w:rPr>
        <w:sz w:val="22"/>
        <w:szCs w:val="22"/>
      </w:rPr>
      <w:t>Apoio:</w:t>
    </w:r>
  </w:p>
  <w:p w:rsidR="004D0AD0" w:rsidRDefault="004D0A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75D" w:rsidRDefault="003E175D">
      <w:r>
        <w:separator/>
      </w:r>
    </w:p>
  </w:footnote>
  <w:footnote w:type="continuationSeparator" w:id="0">
    <w:p w:rsidR="003E175D" w:rsidRDefault="003E1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AD0" w:rsidRDefault="003E175D" w:rsidP="00413A1D">
    <w:pPr>
      <w:pStyle w:val="Cabealho"/>
      <w:ind w:left="284"/>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2054" type="#_x0000_t75" alt="Unespar_Logos Pró-Reitorias_PRPPG_SemLogo" style="position:absolute;left:0;text-align:left;margin-left:-34.8pt;margin-top:-13.5pt;width:106.45pt;height:45.65pt;z-index:-2">
          <v:imagedata r:id="rId1" o:title="Unespar_Logos Pró-Reitorias_PRPPG_SemLogo" cropright="4516f"/>
        </v:shape>
      </w:pict>
    </w:r>
    <w:r>
      <w:pict>
        <v:shape id="Imagem 3" o:spid="_x0000_s2050" type="#_x0000_t75" alt="Descrição: logo unespar" style="position:absolute;left:0;text-align:left;margin-left:404.6pt;margin-top:-25.25pt;width:48.85pt;height:58.3pt;z-index:-3">
          <v:imagedata r:id="rId2" o:title="logo unespa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C4326"/>
    <w:multiLevelType w:val="hybridMultilevel"/>
    <w:tmpl w:val="AAD8D4E0"/>
    <w:lvl w:ilvl="0" w:tplc="0416000F">
      <w:start w:val="1"/>
      <w:numFmt w:val="decimal"/>
      <w:lvlText w:val="%1."/>
      <w:lvlJc w:val="lef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
    <w:nsid w:val="7B0A7F65"/>
    <w:multiLevelType w:val="hybridMultilevel"/>
    <w:tmpl w:val="14708F96"/>
    <w:lvl w:ilvl="0" w:tplc="04160001">
      <w:numFmt w:val="decimal"/>
      <w:lvlText w:val=""/>
      <w:lvlJc w:val="left"/>
      <w:pPr>
        <w:ind w:left="753"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doNotHyphenateCaps/>
  <w:characterSpacingControl w:val="doNotCompress"/>
  <w:doNotValidateAgainstSchema/>
  <w:doNotDemarcateInvalidXml/>
  <w:hdrShapeDefaults>
    <o:shapedefaults v:ext="edit" spidmax="2076" fillcolor="white">
      <v:fill color="white"/>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58FB"/>
    <w:rsid w:val="0000008D"/>
    <w:rsid w:val="00003537"/>
    <w:rsid w:val="000062D1"/>
    <w:rsid w:val="0002136E"/>
    <w:rsid w:val="00025B70"/>
    <w:rsid w:val="00032FF5"/>
    <w:rsid w:val="00033D96"/>
    <w:rsid w:val="0003451C"/>
    <w:rsid w:val="00034B50"/>
    <w:rsid w:val="00036432"/>
    <w:rsid w:val="00036588"/>
    <w:rsid w:val="0003786F"/>
    <w:rsid w:val="000434EC"/>
    <w:rsid w:val="00045368"/>
    <w:rsid w:val="00045715"/>
    <w:rsid w:val="0005088C"/>
    <w:rsid w:val="0005184D"/>
    <w:rsid w:val="00054418"/>
    <w:rsid w:val="00054A54"/>
    <w:rsid w:val="00055243"/>
    <w:rsid w:val="000618B7"/>
    <w:rsid w:val="00063456"/>
    <w:rsid w:val="00064EBC"/>
    <w:rsid w:val="00066025"/>
    <w:rsid w:val="00073D04"/>
    <w:rsid w:val="00075912"/>
    <w:rsid w:val="00076446"/>
    <w:rsid w:val="00076ACD"/>
    <w:rsid w:val="00077E78"/>
    <w:rsid w:val="0009079D"/>
    <w:rsid w:val="00091951"/>
    <w:rsid w:val="000938E7"/>
    <w:rsid w:val="00094C58"/>
    <w:rsid w:val="000A355F"/>
    <w:rsid w:val="000A439F"/>
    <w:rsid w:val="000B1723"/>
    <w:rsid w:val="000B1D26"/>
    <w:rsid w:val="000B4C6A"/>
    <w:rsid w:val="000C1ED8"/>
    <w:rsid w:val="000C3189"/>
    <w:rsid w:val="000C5951"/>
    <w:rsid w:val="000C7C9A"/>
    <w:rsid w:val="000D09DD"/>
    <w:rsid w:val="000D0FCD"/>
    <w:rsid w:val="000D1691"/>
    <w:rsid w:val="000D25DE"/>
    <w:rsid w:val="000D3329"/>
    <w:rsid w:val="000E107B"/>
    <w:rsid w:val="000F012C"/>
    <w:rsid w:val="000F633F"/>
    <w:rsid w:val="000F69F5"/>
    <w:rsid w:val="000F76D1"/>
    <w:rsid w:val="00101D71"/>
    <w:rsid w:val="00101EFF"/>
    <w:rsid w:val="00101F4E"/>
    <w:rsid w:val="0010429A"/>
    <w:rsid w:val="00107946"/>
    <w:rsid w:val="00112A22"/>
    <w:rsid w:val="001152DA"/>
    <w:rsid w:val="00124016"/>
    <w:rsid w:val="001249E5"/>
    <w:rsid w:val="00130C12"/>
    <w:rsid w:val="0013430F"/>
    <w:rsid w:val="001452E7"/>
    <w:rsid w:val="001453F0"/>
    <w:rsid w:val="001506CD"/>
    <w:rsid w:val="00152F20"/>
    <w:rsid w:val="00155E65"/>
    <w:rsid w:val="001643DD"/>
    <w:rsid w:val="001647EF"/>
    <w:rsid w:val="00164917"/>
    <w:rsid w:val="0016500D"/>
    <w:rsid w:val="00165858"/>
    <w:rsid w:val="00165904"/>
    <w:rsid w:val="00166628"/>
    <w:rsid w:val="00175C91"/>
    <w:rsid w:val="00184D1E"/>
    <w:rsid w:val="0019080D"/>
    <w:rsid w:val="00192908"/>
    <w:rsid w:val="001936BD"/>
    <w:rsid w:val="001950A1"/>
    <w:rsid w:val="00196B32"/>
    <w:rsid w:val="001A1BE2"/>
    <w:rsid w:val="001A1C95"/>
    <w:rsid w:val="001A7A50"/>
    <w:rsid w:val="001B4606"/>
    <w:rsid w:val="001B7C28"/>
    <w:rsid w:val="001B7E52"/>
    <w:rsid w:val="001C0D0A"/>
    <w:rsid w:val="001C0E2A"/>
    <w:rsid w:val="001C5AFA"/>
    <w:rsid w:val="001D1C93"/>
    <w:rsid w:val="001D36F7"/>
    <w:rsid w:val="001D3B0B"/>
    <w:rsid w:val="001D6ADD"/>
    <w:rsid w:val="001E407E"/>
    <w:rsid w:val="001E6E1F"/>
    <w:rsid w:val="001F1257"/>
    <w:rsid w:val="001F281A"/>
    <w:rsid w:val="001F6CBA"/>
    <w:rsid w:val="001F6D78"/>
    <w:rsid w:val="001F7EE5"/>
    <w:rsid w:val="00201AFE"/>
    <w:rsid w:val="00204B87"/>
    <w:rsid w:val="00206BB7"/>
    <w:rsid w:val="00211927"/>
    <w:rsid w:val="00213959"/>
    <w:rsid w:val="0021528F"/>
    <w:rsid w:val="002166BA"/>
    <w:rsid w:val="0022282D"/>
    <w:rsid w:val="002302B7"/>
    <w:rsid w:val="00232357"/>
    <w:rsid w:val="00237AB7"/>
    <w:rsid w:val="00242DBF"/>
    <w:rsid w:val="0024403B"/>
    <w:rsid w:val="002457A3"/>
    <w:rsid w:val="00246502"/>
    <w:rsid w:val="002500F3"/>
    <w:rsid w:val="00251DF6"/>
    <w:rsid w:val="00252675"/>
    <w:rsid w:val="00256D02"/>
    <w:rsid w:val="00256F78"/>
    <w:rsid w:val="00262AC4"/>
    <w:rsid w:val="002639E8"/>
    <w:rsid w:val="002656B9"/>
    <w:rsid w:val="002862F2"/>
    <w:rsid w:val="002906B4"/>
    <w:rsid w:val="00291C71"/>
    <w:rsid w:val="00294368"/>
    <w:rsid w:val="00297569"/>
    <w:rsid w:val="00297ED1"/>
    <w:rsid w:val="002A20C6"/>
    <w:rsid w:val="002A5140"/>
    <w:rsid w:val="002A5C12"/>
    <w:rsid w:val="002A79F8"/>
    <w:rsid w:val="002B40E9"/>
    <w:rsid w:val="002B416E"/>
    <w:rsid w:val="002B67F9"/>
    <w:rsid w:val="002C0283"/>
    <w:rsid w:val="002C1A69"/>
    <w:rsid w:val="002C6A23"/>
    <w:rsid w:val="002D0276"/>
    <w:rsid w:val="002D10A8"/>
    <w:rsid w:val="002D267D"/>
    <w:rsid w:val="002D282A"/>
    <w:rsid w:val="002D3C4D"/>
    <w:rsid w:val="002D50A5"/>
    <w:rsid w:val="002D548C"/>
    <w:rsid w:val="002E024C"/>
    <w:rsid w:val="002E1207"/>
    <w:rsid w:val="002E1DD6"/>
    <w:rsid w:val="002E55DA"/>
    <w:rsid w:val="002F56B2"/>
    <w:rsid w:val="0030058F"/>
    <w:rsid w:val="00300E2C"/>
    <w:rsid w:val="00301856"/>
    <w:rsid w:val="003049F0"/>
    <w:rsid w:val="00310C09"/>
    <w:rsid w:val="00310FCE"/>
    <w:rsid w:val="00320902"/>
    <w:rsid w:val="0033155C"/>
    <w:rsid w:val="00331BFC"/>
    <w:rsid w:val="00335E5B"/>
    <w:rsid w:val="00337DA6"/>
    <w:rsid w:val="003409A3"/>
    <w:rsid w:val="00340F2D"/>
    <w:rsid w:val="00344671"/>
    <w:rsid w:val="003466BA"/>
    <w:rsid w:val="003467E7"/>
    <w:rsid w:val="0035260A"/>
    <w:rsid w:val="00353F6C"/>
    <w:rsid w:val="0035671A"/>
    <w:rsid w:val="00357050"/>
    <w:rsid w:val="00362326"/>
    <w:rsid w:val="003644C2"/>
    <w:rsid w:val="00364A62"/>
    <w:rsid w:val="00366533"/>
    <w:rsid w:val="00366743"/>
    <w:rsid w:val="0036737C"/>
    <w:rsid w:val="003675A1"/>
    <w:rsid w:val="00370C81"/>
    <w:rsid w:val="00377036"/>
    <w:rsid w:val="00380F9A"/>
    <w:rsid w:val="00393F40"/>
    <w:rsid w:val="00394FDA"/>
    <w:rsid w:val="003957A0"/>
    <w:rsid w:val="00396880"/>
    <w:rsid w:val="003A03C2"/>
    <w:rsid w:val="003A605C"/>
    <w:rsid w:val="003B151D"/>
    <w:rsid w:val="003B3743"/>
    <w:rsid w:val="003B66DC"/>
    <w:rsid w:val="003B7251"/>
    <w:rsid w:val="003C57DB"/>
    <w:rsid w:val="003C74CC"/>
    <w:rsid w:val="003C79A3"/>
    <w:rsid w:val="003C7B67"/>
    <w:rsid w:val="003D0210"/>
    <w:rsid w:val="003D152F"/>
    <w:rsid w:val="003D3A6B"/>
    <w:rsid w:val="003D4460"/>
    <w:rsid w:val="003D5921"/>
    <w:rsid w:val="003D7657"/>
    <w:rsid w:val="003E039C"/>
    <w:rsid w:val="003E175D"/>
    <w:rsid w:val="003E20EC"/>
    <w:rsid w:val="003E5887"/>
    <w:rsid w:val="003E60A3"/>
    <w:rsid w:val="003E7336"/>
    <w:rsid w:val="003F14B9"/>
    <w:rsid w:val="003F27E2"/>
    <w:rsid w:val="003F2A1A"/>
    <w:rsid w:val="00400F27"/>
    <w:rsid w:val="00405587"/>
    <w:rsid w:val="00406208"/>
    <w:rsid w:val="00407A95"/>
    <w:rsid w:val="00411255"/>
    <w:rsid w:val="00411538"/>
    <w:rsid w:val="00413A1D"/>
    <w:rsid w:val="00421C41"/>
    <w:rsid w:val="00423C21"/>
    <w:rsid w:val="00427AB3"/>
    <w:rsid w:val="00434AC8"/>
    <w:rsid w:val="004362EB"/>
    <w:rsid w:val="0044016C"/>
    <w:rsid w:val="00444629"/>
    <w:rsid w:val="004516D7"/>
    <w:rsid w:val="00451890"/>
    <w:rsid w:val="00455CB0"/>
    <w:rsid w:val="00456944"/>
    <w:rsid w:val="00457339"/>
    <w:rsid w:val="004574AA"/>
    <w:rsid w:val="0046188B"/>
    <w:rsid w:val="0046785A"/>
    <w:rsid w:val="004678AD"/>
    <w:rsid w:val="00473825"/>
    <w:rsid w:val="00474E98"/>
    <w:rsid w:val="00475973"/>
    <w:rsid w:val="00484919"/>
    <w:rsid w:val="0048688C"/>
    <w:rsid w:val="00491347"/>
    <w:rsid w:val="004B1D21"/>
    <w:rsid w:val="004B50B4"/>
    <w:rsid w:val="004B6485"/>
    <w:rsid w:val="004C112F"/>
    <w:rsid w:val="004C1298"/>
    <w:rsid w:val="004C74E9"/>
    <w:rsid w:val="004C7995"/>
    <w:rsid w:val="004D0329"/>
    <w:rsid w:val="004D0AD0"/>
    <w:rsid w:val="004D38F7"/>
    <w:rsid w:val="004D49E1"/>
    <w:rsid w:val="004D60B1"/>
    <w:rsid w:val="004E010A"/>
    <w:rsid w:val="004E1F95"/>
    <w:rsid w:val="004F73E7"/>
    <w:rsid w:val="0050036F"/>
    <w:rsid w:val="005014F8"/>
    <w:rsid w:val="005019EF"/>
    <w:rsid w:val="0050343D"/>
    <w:rsid w:val="00511245"/>
    <w:rsid w:val="005137B6"/>
    <w:rsid w:val="0051671F"/>
    <w:rsid w:val="00521BB7"/>
    <w:rsid w:val="0053067C"/>
    <w:rsid w:val="00532D44"/>
    <w:rsid w:val="00537F89"/>
    <w:rsid w:val="00540FFB"/>
    <w:rsid w:val="00541F74"/>
    <w:rsid w:val="005427B9"/>
    <w:rsid w:val="0054393C"/>
    <w:rsid w:val="00550548"/>
    <w:rsid w:val="005524DE"/>
    <w:rsid w:val="005538E8"/>
    <w:rsid w:val="005544BC"/>
    <w:rsid w:val="00554E53"/>
    <w:rsid w:val="0055739C"/>
    <w:rsid w:val="00562023"/>
    <w:rsid w:val="00562E25"/>
    <w:rsid w:val="00562E55"/>
    <w:rsid w:val="0056492A"/>
    <w:rsid w:val="00566F56"/>
    <w:rsid w:val="00567662"/>
    <w:rsid w:val="00570E1F"/>
    <w:rsid w:val="005762C4"/>
    <w:rsid w:val="00585B8F"/>
    <w:rsid w:val="0058691A"/>
    <w:rsid w:val="00587938"/>
    <w:rsid w:val="00590447"/>
    <w:rsid w:val="00592156"/>
    <w:rsid w:val="00597FC2"/>
    <w:rsid w:val="005A3F96"/>
    <w:rsid w:val="005A6E12"/>
    <w:rsid w:val="005B4075"/>
    <w:rsid w:val="005C0533"/>
    <w:rsid w:val="005C1435"/>
    <w:rsid w:val="005C1C4E"/>
    <w:rsid w:val="005C280D"/>
    <w:rsid w:val="005C532F"/>
    <w:rsid w:val="005C73FA"/>
    <w:rsid w:val="005D1EF9"/>
    <w:rsid w:val="005D3E97"/>
    <w:rsid w:val="005E289F"/>
    <w:rsid w:val="005E3DA7"/>
    <w:rsid w:val="005E725F"/>
    <w:rsid w:val="005F1380"/>
    <w:rsid w:val="005F5C52"/>
    <w:rsid w:val="005F6E58"/>
    <w:rsid w:val="00602BCE"/>
    <w:rsid w:val="00603B6D"/>
    <w:rsid w:val="0060654B"/>
    <w:rsid w:val="00610311"/>
    <w:rsid w:val="006113A0"/>
    <w:rsid w:val="00612CA3"/>
    <w:rsid w:val="00613F37"/>
    <w:rsid w:val="00614A01"/>
    <w:rsid w:val="00615032"/>
    <w:rsid w:val="00625F66"/>
    <w:rsid w:val="00627D88"/>
    <w:rsid w:val="00630A09"/>
    <w:rsid w:val="006321DA"/>
    <w:rsid w:val="006334D4"/>
    <w:rsid w:val="00636C29"/>
    <w:rsid w:val="006525FB"/>
    <w:rsid w:val="006526E1"/>
    <w:rsid w:val="00653CA8"/>
    <w:rsid w:val="00657F18"/>
    <w:rsid w:val="00660811"/>
    <w:rsid w:val="00663216"/>
    <w:rsid w:val="00667A81"/>
    <w:rsid w:val="00674FC3"/>
    <w:rsid w:val="006758DA"/>
    <w:rsid w:val="006763DD"/>
    <w:rsid w:val="00681E07"/>
    <w:rsid w:val="0068297F"/>
    <w:rsid w:val="00683037"/>
    <w:rsid w:val="0068764B"/>
    <w:rsid w:val="00690166"/>
    <w:rsid w:val="006A2C5F"/>
    <w:rsid w:val="006A40DC"/>
    <w:rsid w:val="006A4509"/>
    <w:rsid w:val="006A4592"/>
    <w:rsid w:val="006A65D7"/>
    <w:rsid w:val="006B4191"/>
    <w:rsid w:val="006C0A8E"/>
    <w:rsid w:val="006C19D2"/>
    <w:rsid w:val="006C3927"/>
    <w:rsid w:val="006C4FD2"/>
    <w:rsid w:val="006D47DD"/>
    <w:rsid w:val="006D4CDB"/>
    <w:rsid w:val="006D5608"/>
    <w:rsid w:val="006D6897"/>
    <w:rsid w:val="006D695B"/>
    <w:rsid w:val="006D7C43"/>
    <w:rsid w:val="006D7DF6"/>
    <w:rsid w:val="006E1FFB"/>
    <w:rsid w:val="006E2512"/>
    <w:rsid w:val="006E2991"/>
    <w:rsid w:val="006E3FF7"/>
    <w:rsid w:val="006E602C"/>
    <w:rsid w:val="006F34A4"/>
    <w:rsid w:val="006F3B9B"/>
    <w:rsid w:val="006F7561"/>
    <w:rsid w:val="0070166F"/>
    <w:rsid w:val="00710F00"/>
    <w:rsid w:val="0071498F"/>
    <w:rsid w:val="00715AAC"/>
    <w:rsid w:val="007171BC"/>
    <w:rsid w:val="00724ADA"/>
    <w:rsid w:val="00735A9E"/>
    <w:rsid w:val="00735F5F"/>
    <w:rsid w:val="00736D09"/>
    <w:rsid w:val="00737775"/>
    <w:rsid w:val="00740093"/>
    <w:rsid w:val="00746375"/>
    <w:rsid w:val="0075325C"/>
    <w:rsid w:val="007535A2"/>
    <w:rsid w:val="00757165"/>
    <w:rsid w:val="00766093"/>
    <w:rsid w:val="007700BB"/>
    <w:rsid w:val="00772A1E"/>
    <w:rsid w:val="007804AC"/>
    <w:rsid w:val="007812D1"/>
    <w:rsid w:val="007842BF"/>
    <w:rsid w:val="007868A7"/>
    <w:rsid w:val="00787148"/>
    <w:rsid w:val="00787546"/>
    <w:rsid w:val="00787834"/>
    <w:rsid w:val="0079014E"/>
    <w:rsid w:val="00793581"/>
    <w:rsid w:val="00793A3B"/>
    <w:rsid w:val="007952F2"/>
    <w:rsid w:val="007A1981"/>
    <w:rsid w:val="007B17A5"/>
    <w:rsid w:val="007B2F84"/>
    <w:rsid w:val="007B6153"/>
    <w:rsid w:val="007C1A4F"/>
    <w:rsid w:val="007C2500"/>
    <w:rsid w:val="007D41BB"/>
    <w:rsid w:val="007D53BA"/>
    <w:rsid w:val="007D7852"/>
    <w:rsid w:val="007E05ED"/>
    <w:rsid w:val="007E1145"/>
    <w:rsid w:val="007E1F42"/>
    <w:rsid w:val="007E3C35"/>
    <w:rsid w:val="007F4FDD"/>
    <w:rsid w:val="007F6E79"/>
    <w:rsid w:val="008017EB"/>
    <w:rsid w:val="008024E5"/>
    <w:rsid w:val="00806F4E"/>
    <w:rsid w:val="00807DE1"/>
    <w:rsid w:val="00811A9C"/>
    <w:rsid w:val="00822587"/>
    <w:rsid w:val="00823B32"/>
    <w:rsid w:val="00824F38"/>
    <w:rsid w:val="008254D4"/>
    <w:rsid w:val="00825FEE"/>
    <w:rsid w:val="0082650F"/>
    <w:rsid w:val="00826C63"/>
    <w:rsid w:val="00831814"/>
    <w:rsid w:val="00835D9C"/>
    <w:rsid w:val="0084009C"/>
    <w:rsid w:val="00842807"/>
    <w:rsid w:val="00844503"/>
    <w:rsid w:val="008478AB"/>
    <w:rsid w:val="0085052E"/>
    <w:rsid w:val="0085362A"/>
    <w:rsid w:val="00854822"/>
    <w:rsid w:val="0086058A"/>
    <w:rsid w:val="008620AE"/>
    <w:rsid w:val="00863408"/>
    <w:rsid w:val="0087293B"/>
    <w:rsid w:val="0087369F"/>
    <w:rsid w:val="00874884"/>
    <w:rsid w:val="008753FD"/>
    <w:rsid w:val="00881B70"/>
    <w:rsid w:val="008838E4"/>
    <w:rsid w:val="008938E6"/>
    <w:rsid w:val="008941F6"/>
    <w:rsid w:val="008A1397"/>
    <w:rsid w:val="008B3DAB"/>
    <w:rsid w:val="008B7F1B"/>
    <w:rsid w:val="008C2126"/>
    <w:rsid w:val="008C2B7B"/>
    <w:rsid w:val="008C4792"/>
    <w:rsid w:val="008D1862"/>
    <w:rsid w:val="008D4A92"/>
    <w:rsid w:val="008D5940"/>
    <w:rsid w:val="008D7163"/>
    <w:rsid w:val="008D773B"/>
    <w:rsid w:val="008E69E5"/>
    <w:rsid w:val="008E7742"/>
    <w:rsid w:val="008F1CF5"/>
    <w:rsid w:val="008F23FA"/>
    <w:rsid w:val="008F269E"/>
    <w:rsid w:val="008F2F6C"/>
    <w:rsid w:val="008F5261"/>
    <w:rsid w:val="008F629B"/>
    <w:rsid w:val="008F6F2C"/>
    <w:rsid w:val="009015BE"/>
    <w:rsid w:val="0090767E"/>
    <w:rsid w:val="00911E1B"/>
    <w:rsid w:val="009125FF"/>
    <w:rsid w:val="00912882"/>
    <w:rsid w:val="009139DB"/>
    <w:rsid w:val="00920312"/>
    <w:rsid w:val="0092106C"/>
    <w:rsid w:val="00927459"/>
    <w:rsid w:val="009328ED"/>
    <w:rsid w:val="00933AA7"/>
    <w:rsid w:val="0093533F"/>
    <w:rsid w:val="009371BE"/>
    <w:rsid w:val="009372D9"/>
    <w:rsid w:val="009434DB"/>
    <w:rsid w:val="009447B5"/>
    <w:rsid w:val="009453ED"/>
    <w:rsid w:val="009558FB"/>
    <w:rsid w:val="00960D5B"/>
    <w:rsid w:val="00962C6F"/>
    <w:rsid w:val="00964299"/>
    <w:rsid w:val="00964903"/>
    <w:rsid w:val="009733A0"/>
    <w:rsid w:val="00973BA8"/>
    <w:rsid w:val="00975594"/>
    <w:rsid w:val="00977244"/>
    <w:rsid w:val="00977516"/>
    <w:rsid w:val="00983398"/>
    <w:rsid w:val="009868B3"/>
    <w:rsid w:val="009957FE"/>
    <w:rsid w:val="009963A1"/>
    <w:rsid w:val="009A174E"/>
    <w:rsid w:val="009A6577"/>
    <w:rsid w:val="009A7977"/>
    <w:rsid w:val="009B2A7D"/>
    <w:rsid w:val="009B425D"/>
    <w:rsid w:val="009B525B"/>
    <w:rsid w:val="009C4B32"/>
    <w:rsid w:val="009C5313"/>
    <w:rsid w:val="009D33EF"/>
    <w:rsid w:val="009D4AD3"/>
    <w:rsid w:val="009D4D34"/>
    <w:rsid w:val="009D4F96"/>
    <w:rsid w:val="009D6DAD"/>
    <w:rsid w:val="009E1764"/>
    <w:rsid w:val="009E2435"/>
    <w:rsid w:val="009E2AF9"/>
    <w:rsid w:val="009E460F"/>
    <w:rsid w:val="009E5F9C"/>
    <w:rsid w:val="009F2623"/>
    <w:rsid w:val="009F34CB"/>
    <w:rsid w:val="009F508F"/>
    <w:rsid w:val="009F5769"/>
    <w:rsid w:val="009F5F89"/>
    <w:rsid w:val="00A0171D"/>
    <w:rsid w:val="00A042C0"/>
    <w:rsid w:val="00A05C07"/>
    <w:rsid w:val="00A10F84"/>
    <w:rsid w:val="00A11621"/>
    <w:rsid w:val="00A1264D"/>
    <w:rsid w:val="00A12E7A"/>
    <w:rsid w:val="00A13BFA"/>
    <w:rsid w:val="00A24344"/>
    <w:rsid w:val="00A344C4"/>
    <w:rsid w:val="00A35979"/>
    <w:rsid w:val="00A35ED1"/>
    <w:rsid w:val="00A365A2"/>
    <w:rsid w:val="00A36C84"/>
    <w:rsid w:val="00A37C8F"/>
    <w:rsid w:val="00A406DE"/>
    <w:rsid w:val="00A41A14"/>
    <w:rsid w:val="00A432D0"/>
    <w:rsid w:val="00A47DAB"/>
    <w:rsid w:val="00A52095"/>
    <w:rsid w:val="00A63B9C"/>
    <w:rsid w:val="00A648F5"/>
    <w:rsid w:val="00A64D24"/>
    <w:rsid w:val="00A70559"/>
    <w:rsid w:val="00A75610"/>
    <w:rsid w:val="00A767F1"/>
    <w:rsid w:val="00A775FC"/>
    <w:rsid w:val="00A846F8"/>
    <w:rsid w:val="00A86F78"/>
    <w:rsid w:val="00A92625"/>
    <w:rsid w:val="00A94D14"/>
    <w:rsid w:val="00A96C34"/>
    <w:rsid w:val="00AA1C41"/>
    <w:rsid w:val="00AA2579"/>
    <w:rsid w:val="00AA28C8"/>
    <w:rsid w:val="00AA2D33"/>
    <w:rsid w:val="00AA36F7"/>
    <w:rsid w:val="00AA78F3"/>
    <w:rsid w:val="00AB4CA7"/>
    <w:rsid w:val="00AB6A4E"/>
    <w:rsid w:val="00AC1C45"/>
    <w:rsid w:val="00AD5C2F"/>
    <w:rsid w:val="00AD5DE1"/>
    <w:rsid w:val="00AD7F30"/>
    <w:rsid w:val="00AE22AE"/>
    <w:rsid w:val="00AE2337"/>
    <w:rsid w:val="00AE2701"/>
    <w:rsid w:val="00AE3B42"/>
    <w:rsid w:val="00AE3EED"/>
    <w:rsid w:val="00B02FB5"/>
    <w:rsid w:val="00B03912"/>
    <w:rsid w:val="00B05655"/>
    <w:rsid w:val="00B078FB"/>
    <w:rsid w:val="00B1186D"/>
    <w:rsid w:val="00B11C3A"/>
    <w:rsid w:val="00B13249"/>
    <w:rsid w:val="00B1367C"/>
    <w:rsid w:val="00B158F4"/>
    <w:rsid w:val="00B20634"/>
    <w:rsid w:val="00B31DF2"/>
    <w:rsid w:val="00B32A1B"/>
    <w:rsid w:val="00B34A8D"/>
    <w:rsid w:val="00B36579"/>
    <w:rsid w:val="00B40314"/>
    <w:rsid w:val="00B40B38"/>
    <w:rsid w:val="00B447C6"/>
    <w:rsid w:val="00B45964"/>
    <w:rsid w:val="00B47218"/>
    <w:rsid w:val="00B512EE"/>
    <w:rsid w:val="00B51667"/>
    <w:rsid w:val="00B52E62"/>
    <w:rsid w:val="00B532EA"/>
    <w:rsid w:val="00B5648A"/>
    <w:rsid w:val="00B603EA"/>
    <w:rsid w:val="00B620B6"/>
    <w:rsid w:val="00B63534"/>
    <w:rsid w:val="00B65CB4"/>
    <w:rsid w:val="00B6647A"/>
    <w:rsid w:val="00B668B3"/>
    <w:rsid w:val="00B66B39"/>
    <w:rsid w:val="00B700AA"/>
    <w:rsid w:val="00B70B1D"/>
    <w:rsid w:val="00B7138F"/>
    <w:rsid w:val="00B71538"/>
    <w:rsid w:val="00B83653"/>
    <w:rsid w:val="00B91CE3"/>
    <w:rsid w:val="00B92AAB"/>
    <w:rsid w:val="00BA4CE0"/>
    <w:rsid w:val="00BB10ED"/>
    <w:rsid w:val="00BB1887"/>
    <w:rsid w:val="00BB3273"/>
    <w:rsid w:val="00BB5E33"/>
    <w:rsid w:val="00BB6A09"/>
    <w:rsid w:val="00BC046D"/>
    <w:rsid w:val="00BC1041"/>
    <w:rsid w:val="00BC1848"/>
    <w:rsid w:val="00BC1C7F"/>
    <w:rsid w:val="00BD4630"/>
    <w:rsid w:val="00BD5183"/>
    <w:rsid w:val="00BD75FD"/>
    <w:rsid w:val="00BE322C"/>
    <w:rsid w:val="00BE5EAD"/>
    <w:rsid w:val="00BE7EA9"/>
    <w:rsid w:val="00BF127A"/>
    <w:rsid w:val="00BF24A9"/>
    <w:rsid w:val="00BF4784"/>
    <w:rsid w:val="00BF7320"/>
    <w:rsid w:val="00BF76E1"/>
    <w:rsid w:val="00C001DF"/>
    <w:rsid w:val="00C13294"/>
    <w:rsid w:val="00C136C7"/>
    <w:rsid w:val="00C15109"/>
    <w:rsid w:val="00C15DA3"/>
    <w:rsid w:val="00C17C00"/>
    <w:rsid w:val="00C20B25"/>
    <w:rsid w:val="00C25E93"/>
    <w:rsid w:val="00C26A80"/>
    <w:rsid w:val="00C30449"/>
    <w:rsid w:val="00C35417"/>
    <w:rsid w:val="00C36706"/>
    <w:rsid w:val="00C36BD6"/>
    <w:rsid w:val="00C37106"/>
    <w:rsid w:val="00C40C2C"/>
    <w:rsid w:val="00C44525"/>
    <w:rsid w:val="00C45424"/>
    <w:rsid w:val="00C45DD0"/>
    <w:rsid w:val="00C54B71"/>
    <w:rsid w:val="00C5535E"/>
    <w:rsid w:val="00C5580C"/>
    <w:rsid w:val="00C61DEC"/>
    <w:rsid w:val="00C62E04"/>
    <w:rsid w:val="00C64CD3"/>
    <w:rsid w:val="00C72292"/>
    <w:rsid w:val="00C7557A"/>
    <w:rsid w:val="00C75BA6"/>
    <w:rsid w:val="00C75EF9"/>
    <w:rsid w:val="00C761AF"/>
    <w:rsid w:val="00C77712"/>
    <w:rsid w:val="00C80744"/>
    <w:rsid w:val="00C8157C"/>
    <w:rsid w:val="00C84AB3"/>
    <w:rsid w:val="00C91DC5"/>
    <w:rsid w:val="00C95B7E"/>
    <w:rsid w:val="00CA0DA9"/>
    <w:rsid w:val="00CA1FB8"/>
    <w:rsid w:val="00CA2114"/>
    <w:rsid w:val="00CA40CA"/>
    <w:rsid w:val="00CA5126"/>
    <w:rsid w:val="00CA54A5"/>
    <w:rsid w:val="00CA5AC9"/>
    <w:rsid w:val="00CB29A6"/>
    <w:rsid w:val="00CC17B4"/>
    <w:rsid w:val="00CD1D90"/>
    <w:rsid w:val="00CD7653"/>
    <w:rsid w:val="00CF15E7"/>
    <w:rsid w:val="00CF163A"/>
    <w:rsid w:val="00CF3DA0"/>
    <w:rsid w:val="00CF457C"/>
    <w:rsid w:val="00CF5071"/>
    <w:rsid w:val="00CF62C8"/>
    <w:rsid w:val="00CF7451"/>
    <w:rsid w:val="00CF76AA"/>
    <w:rsid w:val="00D0203D"/>
    <w:rsid w:val="00D10A07"/>
    <w:rsid w:val="00D14907"/>
    <w:rsid w:val="00D15C51"/>
    <w:rsid w:val="00D161AA"/>
    <w:rsid w:val="00D20382"/>
    <w:rsid w:val="00D2257B"/>
    <w:rsid w:val="00D22A45"/>
    <w:rsid w:val="00D23065"/>
    <w:rsid w:val="00D240EE"/>
    <w:rsid w:val="00D26336"/>
    <w:rsid w:val="00D27AA0"/>
    <w:rsid w:val="00D27DD4"/>
    <w:rsid w:val="00D30998"/>
    <w:rsid w:val="00D34A77"/>
    <w:rsid w:val="00D359A9"/>
    <w:rsid w:val="00D366C1"/>
    <w:rsid w:val="00D36FFB"/>
    <w:rsid w:val="00D37E36"/>
    <w:rsid w:val="00D428D9"/>
    <w:rsid w:val="00D43A44"/>
    <w:rsid w:val="00D51D91"/>
    <w:rsid w:val="00D5330E"/>
    <w:rsid w:val="00D61099"/>
    <w:rsid w:val="00D63CC7"/>
    <w:rsid w:val="00D65A66"/>
    <w:rsid w:val="00D714C3"/>
    <w:rsid w:val="00D71D92"/>
    <w:rsid w:val="00D72DA9"/>
    <w:rsid w:val="00D7315A"/>
    <w:rsid w:val="00D76006"/>
    <w:rsid w:val="00D76658"/>
    <w:rsid w:val="00D7754D"/>
    <w:rsid w:val="00D8285F"/>
    <w:rsid w:val="00D83829"/>
    <w:rsid w:val="00D86D40"/>
    <w:rsid w:val="00D93C3C"/>
    <w:rsid w:val="00D966AB"/>
    <w:rsid w:val="00D96FBA"/>
    <w:rsid w:val="00DA0127"/>
    <w:rsid w:val="00DA0931"/>
    <w:rsid w:val="00DA14E8"/>
    <w:rsid w:val="00DA4CC3"/>
    <w:rsid w:val="00DA531E"/>
    <w:rsid w:val="00DB04FC"/>
    <w:rsid w:val="00DB2146"/>
    <w:rsid w:val="00DB35F7"/>
    <w:rsid w:val="00DB3E48"/>
    <w:rsid w:val="00DB6BCB"/>
    <w:rsid w:val="00DC5DB6"/>
    <w:rsid w:val="00DC6B68"/>
    <w:rsid w:val="00DC7025"/>
    <w:rsid w:val="00DD313D"/>
    <w:rsid w:val="00DD5DD7"/>
    <w:rsid w:val="00DD74DB"/>
    <w:rsid w:val="00DE0FEA"/>
    <w:rsid w:val="00DE25A3"/>
    <w:rsid w:val="00DE6C30"/>
    <w:rsid w:val="00DF1244"/>
    <w:rsid w:val="00DF36CB"/>
    <w:rsid w:val="00DF7514"/>
    <w:rsid w:val="00E00509"/>
    <w:rsid w:val="00E01D31"/>
    <w:rsid w:val="00E02AD4"/>
    <w:rsid w:val="00E11074"/>
    <w:rsid w:val="00E11F1A"/>
    <w:rsid w:val="00E12E24"/>
    <w:rsid w:val="00E135FC"/>
    <w:rsid w:val="00E13813"/>
    <w:rsid w:val="00E14FBE"/>
    <w:rsid w:val="00E207E8"/>
    <w:rsid w:val="00E2298D"/>
    <w:rsid w:val="00E24777"/>
    <w:rsid w:val="00E25212"/>
    <w:rsid w:val="00E26C55"/>
    <w:rsid w:val="00E273E0"/>
    <w:rsid w:val="00E30E07"/>
    <w:rsid w:val="00E31094"/>
    <w:rsid w:val="00E36FBB"/>
    <w:rsid w:val="00E454CF"/>
    <w:rsid w:val="00E45AFD"/>
    <w:rsid w:val="00E473F4"/>
    <w:rsid w:val="00E545B2"/>
    <w:rsid w:val="00E546BE"/>
    <w:rsid w:val="00E57F41"/>
    <w:rsid w:val="00E60CA3"/>
    <w:rsid w:val="00E621A9"/>
    <w:rsid w:val="00E63F0B"/>
    <w:rsid w:val="00E645F2"/>
    <w:rsid w:val="00E661A7"/>
    <w:rsid w:val="00E661AA"/>
    <w:rsid w:val="00E808F1"/>
    <w:rsid w:val="00E81C0C"/>
    <w:rsid w:val="00E844E7"/>
    <w:rsid w:val="00E84F72"/>
    <w:rsid w:val="00E84FB8"/>
    <w:rsid w:val="00E85AF6"/>
    <w:rsid w:val="00E86521"/>
    <w:rsid w:val="00E86AE3"/>
    <w:rsid w:val="00E90E3E"/>
    <w:rsid w:val="00E95543"/>
    <w:rsid w:val="00EA1AA4"/>
    <w:rsid w:val="00EA315B"/>
    <w:rsid w:val="00EA49D2"/>
    <w:rsid w:val="00EA6B45"/>
    <w:rsid w:val="00EB12C4"/>
    <w:rsid w:val="00EC187D"/>
    <w:rsid w:val="00EC1BE2"/>
    <w:rsid w:val="00EC6F46"/>
    <w:rsid w:val="00ED606A"/>
    <w:rsid w:val="00ED7646"/>
    <w:rsid w:val="00EE30D3"/>
    <w:rsid w:val="00EE3F99"/>
    <w:rsid w:val="00EE6EE8"/>
    <w:rsid w:val="00EF4C8E"/>
    <w:rsid w:val="00EF538F"/>
    <w:rsid w:val="00EF73C5"/>
    <w:rsid w:val="00F037E5"/>
    <w:rsid w:val="00F049C3"/>
    <w:rsid w:val="00F1551D"/>
    <w:rsid w:val="00F16217"/>
    <w:rsid w:val="00F23CEE"/>
    <w:rsid w:val="00F272F3"/>
    <w:rsid w:val="00F27307"/>
    <w:rsid w:val="00F32A2C"/>
    <w:rsid w:val="00F3594C"/>
    <w:rsid w:val="00F36810"/>
    <w:rsid w:val="00F36E21"/>
    <w:rsid w:val="00F41FBC"/>
    <w:rsid w:val="00F42B00"/>
    <w:rsid w:val="00F442C7"/>
    <w:rsid w:val="00F45E55"/>
    <w:rsid w:val="00F47A51"/>
    <w:rsid w:val="00F50BCB"/>
    <w:rsid w:val="00F50D0B"/>
    <w:rsid w:val="00F51034"/>
    <w:rsid w:val="00F5118C"/>
    <w:rsid w:val="00F52480"/>
    <w:rsid w:val="00F53257"/>
    <w:rsid w:val="00F57C68"/>
    <w:rsid w:val="00F61A2F"/>
    <w:rsid w:val="00F65BFC"/>
    <w:rsid w:val="00F679A9"/>
    <w:rsid w:val="00F7382E"/>
    <w:rsid w:val="00F73E6E"/>
    <w:rsid w:val="00F769E7"/>
    <w:rsid w:val="00F7768B"/>
    <w:rsid w:val="00F827B7"/>
    <w:rsid w:val="00F9067D"/>
    <w:rsid w:val="00F95849"/>
    <w:rsid w:val="00FA58C7"/>
    <w:rsid w:val="00FA71EB"/>
    <w:rsid w:val="00FA744F"/>
    <w:rsid w:val="00FB12E2"/>
    <w:rsid w:val="00FB2AFB"/>
    <w:rsid w:val="00FB41C8"/>
    <w:rsid w:val="00FC1666"/>
    <w:rsid w:val="00FC2A22"/>
    <w:rsid w:val="00FC480C"/>
    <w:rsid w:val="00FC535B"/>
    <w:rsid w:val="00FC7AB2"/>
    <w:rsid w:val="00FD4C45"/>
    <w:rsid w:val="00FD52EC"/>
    <w:rsid w:val="00FD5588"/>
    <w:rsid w:val="00FE0252"/>
    <w:rsid w:val="00FE20F6"/>
    <w:rsid w:val="00FE7B4F"/>
    <w:rsid w:val="00FF0D77"/>
    <w:rsid w:val="00FF1583"/>
    <w:rsid w:val="00FF2D55"/>
    <w:rsid w:val="00FF33C7"/>
    <w:rsid w:val="00FF345C"/>
    <w:rsid w:val="00FF434E"/>
    <w:rsid w:val="594815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6" fillcolor="white">
      <v:fill color="white"/>
    </o:shapedefaults>
    <o:shapelayout v:ext="edit">
      <o:idmap v:ext="edit" data="1"/>
      <o:rules v:ext="edit">
        <o:r id="V:Rule1"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semiHidden="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nhideWhenUsed="0"/>
    <w:lsdException w:name="toc 2" w:unhideWhenUsed="0"/>
    <w:lsdException w:name="toc 3"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unhideWhenUsed="0"/>
    <w:lsdException w:name="header" w:unhideWhenUsed="0"/>
    <w:lsdException w:name="footer" w:semiHidden="0" w:unhideWhenUsed="0"/>
    <w:lsdException w:name="caption" w:locked="1" w:uiPriority="0" w:qFormat="1"/>
    <w:lsdException w:name="footnote reference" w:semiHidden="0" w:unhideWhenUsed="0"/>
    <w:lsdException w:name="annotation reference" w:uiPriority="0" w:unhideWhenUsed="0"/>
    <w:lsdException w:name="Title" w:locked="1" w:semiHidden="0" w:uiPriority="0" w:unhideWhenUsed="0" w:qFormat="1"/>
    <w:lsdException w:name="Default Paragraph Font" w:uiPriority="1"/>
    <w:lsdException w:name="Body Text" w:semiHidden="0" w:uiPriority="0" w:unhideWhenUsed="0"/>
    <w:lsdException w:name="Body Text Indent" w:semiHidden="0" w:uiPriority="0" w:unhideWhenUsed="0"/>
    <w:lsdException w:name="Subtitle" w:locked="1" w:semiHidden="0" w:uiPriority="0" w:unhideWhenUsed="0" w:qFormat="1"/>
    <w:lsdException w:name="Hyperlink" w:semiHidden="0" w:unhideWhenUsed="0"/>
    <w:lsdException w:name="Strong" w:semiHidden="0" w:uiPriority="22" w:unhideWhenUsed="0" w:qFormat="1"/>
    <w:lsdException w:name="Emphasis" w:semiHidden="0" w:unhideWhenUsed="0" w:qFormat="1"/>
    <w:lsdException w:name="Normal (Web)" w:semiHidden="0" w:unhideWhenUsed="0" w:qFormat="1"/>
    <w:lsdException w:name="annotation subject" w:uiPriority="0" w:unhideWhenUsed="0"/>
    <w:lsdException w:name="Balloon Text" w:unhideWhenUsed="0"/>
    <w:lsdException w:name="Table Grid" w:semiHidden="0" w:unhideWhenUsed="0"/>
    <w:lsdException w:name="No Spacing" w:semiHidden="0" w:uiPriority="1" w:unhideWhenUsed="0" w:qFormat="1"/>
    <w:lsdException w:name="List Paragraph" w:semiHidden="0" w:uiPriority="1"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9"/>
    <w:qFormat/>
    <w:pPr>
      <w:keepNext/>
      <w:spacing w:before="240" w:after="60"/>
      <w:outlineLvl w:val="0"/>
    </w:pPr>
    <w:rPr>
      <w:rFonts w:ascii="Cambria" w:hAnsi="Cambria"/>
      <w:b/>
      <w:bCs/>
      <w:kern w:val="32"/>
      <w:sz w:val="32"/>
      <w:szCs w:val="32"/>
    </w:rPr>
  </w:style>
  <w:style w:type="paragraph" w:styleId="Ttulo4">
    <w:name w:val="heading 4"/>
    <w:basedOn w:val="Normal"/>
    <w:next w:val="Normal"/>
    <w:link w:val="Ttulo4Char"/>
    <w:uiPriority w:val="99"/>
    <w:qFormat/>
    <w:pPr>
      <w:keepNext/>
      <w:spacing w:before="240" w:after="60"/>
      <w:outlineLvl w:val="3"/>
    </w:pPr>
    <w:rPr>
      <w:rFonts w:ascii="Calibri" w:hAnsi="Calibri"/>
      <w:b/>
      <w:bCs/>
      <w:sz w:val="28"/>
      <w:szCs w:val="28"/>
    </w:rPr>
  </w:style>
  <w:style w:type="paragraph" w:styleId="Ttulo5">
    <w:name w:val="heading 5"/>
    <w:basedOn w:val="Normal"/>
    <w:next w:val="Normal"/>
    <w:qFormat/>
    <w:locked/>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4Char">
    <w:name w:val="Título 4 Char"/>
    <w:link w:val="Ttulo4"/>
    <w:uiPriority w:val="99"/>
    <w:semiHidden/>
    <w:locked/>
    <w:rPr>
      <w:rFonts w:ascii="Calibri" w:hAnsi="Calibri" w:cs="Calibri"/>
      <w:b/>
      <w:bCs/>
      <w:sz w:val="28"/>
      <w:szCs w:val="28"/>
    </w:rPr>
  </w:style>
  <w:style w:type="character" w:styleId="Forte">
    <w:name w:val="Strong"/>
    <w:uiPriority w:val="22"/>
    <w:qFormat/>
    <w:rPr>
      <w:b/>
      <w:bCs/>
    </w:rPr>
  </w:style>
  <w:style w:type="character" w:styleId="Refdecomentrio">
    <w:name w:val="annotation reference"/>
    <w:semiHidden/>
    <w:rPr>
      <w:sz w:val="16"/>
      <w:szCs w:val="16"/>
    </w:rPr>
  </w:style>
  <w:style w:type="character" w:styleId="nfase">
    <w:name w:val="Emphasis"/>
    <w:uiPriority w:val="99"/>
    <w:qFormat/>
    <w:rPr>
      <w:i/>
      <w:iCs/>
    </w:rPr>
  </w:style>
  <w:style w:type="character" w:styleId="Refdenotaderodap">
    <w:name w:val="footnote reference"/>
    <w:uiPriority w:val="99"/>
    <w:rPr>
      <w:vertAlign w:val="superscript"/>
    </w:rPr>
  </w:style>
  <w:style w:type="character" w:styleId="Hyperlink">
    <w:name w:val="Hyperlink"/>
    <w:uiPriority w:val="99"/>
    <w:rPr>
      <w:color w:val="0000FF"/>
      <w:u w:val="single"/>
    </w:rPr>
  </w:style>
  <w:style w:type="paragraph" w:styleId="Sumrio2">
    <w:name w:val="toc 2"/>
    <w:basedOn w:val="Normal"/>
    <w:next w:val="Normal"/>
    <w:uiPriority w:val="99"/>
    <w:semiHidden/>
    <w:pPr>
      <w:spacing w:after="100" w:line="276" w:lineRule="auto"/>
      <w:ind w:left="220"/>
    </w:pPr>
    <w:rPr>
      <w:rFonts w:ascii="Calibri" w:hAnsi="Calibri" w:cs="Calibri"/>
      <w:sz w:val="22"/>
      <w:szCs w:val="22"/>
      <w:lang w:eastAsia="en-US"/>
    </w:rPr>
  </w:style>
  <w:style w:type="paragraph" w:styleId="Corpodetexto">
    <w:name w:val="Body Text"/>
    <w:basedOn w:val="Normal"/>
    <w:link w:val="CorpodetextoChar"/>
    <w:pPr>
      <w:jc w:val="both"/>
    </w:pPr>
    <w:rPr>
      <w:sz w:val="24"/>
      <w:szCs w:val="24"/>
    </w:rPr>
  </w:style>
  <w:style w:type="character" w:customStyle="1" w:styleId="CorpodetextoChar">
    <w:name w:val="Corpo de texto Char"/>
    <w:link w:val="Corpodetexto"/>
    <w:rPr>
      <w:sz w:val="24"/>
      <w:szCs w:val="24"/>
    </w:rPr>
  </w:style>
  <w:style w:type="paragraph" w:styleId="Textodecomentrio">
    <w:name w:val="annotation text"/>
    <w:basedOn w:val="Normal"/>
    <w:semiHidden/>
  </w:style>
  <w:style w:type="paragraph" w:styleId="NormalWeb">
    <w:name w:val="Normal (Web)"/>
    <w:basedOn w:val="Normal"/>
    <w:uiPriority w:val="99"/>
    <w:qFormat/>
    <w:pPr>
      <w:spacing w:before="100" w:beforeAutospacing="1" w:after="100" w:afterAutospacing="1"/>
    </w:pPr>
    <w:rPr>
      <w:sz w:val="24"/>
      <w:szCs w:val="24"/>
    </w:rPr>
  </w:style>
  <w:style w:type="paragraph" w:styleId="Cabealho">
    <w:name w:val="header"/>
    <w:basedOn w:val="Normal"/>
    <w:link w:val="CabealhoChar"/>
    <w:uiPriority w:val="99"/>
    <w:semiHidden/>
    <w:pPr>
      <w:tabs>
        <w:tab w:val="center" w:pos="4252"/>
        <w:tab w:val="right" w:pos="8504"/>
      </w:tabs>
    </w:pPr>
    <w:rPr>
      <w:sz w:val="24"/>
      <w:szCs w:val="24"/>
    </w:rPr>
  </w:style>
  <w:style w:type="character" w:customStyle="1" w:styleId="CabealhoChar">
    <w:name w:val="Cabeçalho Char"/>
    <w:link w:val="Cabealho"/>
    <w:uiPriority w:val="99"/>
    <w:semiHidden/>
    <w:locked/>
    <w:rPr>
      <w:sz w:val="24"/>
      <w:szCs w:val="24"/>
    </w:rPr>
  </w:style>
  <w:style w:type="paragraph" w:styleId="Assuntodocomentrio">
    <w:name w:val="annotation subject"/>
    <w:basedOn w:val="Textodecomentrio"/>
    <w:next w:val="Textodecomentrio"/>
    <w:semiHidden/>
    <w:rPr>
      <w:b/>
      <w:bCs/>
    </w:rPr>
  </w:style>
  <w:style w:type="paragraph" w:styleId="Rodap">
    <w:name w:val="footer"/>
    <w:basedOn w:val="Normal"/>
    <w:link w:val="RodapChar"/>
    <w:uiPriority w:val="99"/>
    <w:pPr>
      <w:tabs>
        <w:tab w:val="center" w:pos="4252"/>
        <w:tab w:val="right" w:pos="8504"/>
      </w:tabs>
    </w:pPr>
    <w:rPr>
      <w:sz w:val="24"/>
      <w:szCs w:val="24"/>
    </w:rPr>
  </w:style>
  <w:style w:type="character" w:customStyle="1" w:styleId="RodapChar">
    <w:name w:val="Rodapé Char"/>
    <w:link w:val="Rodap"/>
    <w:uiPriority w:val="99"/>
    <w:locked/>
    <w:rPr>
      <w:sz w:val="24"/>
      <w:szCs w:val="24"/>
    </w:rPr>
  </w:style>
  <w:style w:type="paragraph" w:styleId="Sumrio3">
    <w:name w:val="toc 3"/>
    <w:basedOn w:val="Normal"/>
    <w:next w:val="Normal"/>
    <w:uiPriority w:val="99"/>
    <w:semiHidden/>
    <w:pPr>
      <w:spacing w:after="100" w:line="276" w:lineRule="auto"/>
      <w:ind w:left="440"/>
    </w:pPr>
    <w:rPr>
      <w:rFonts w:ascii="Calibri" w:hAnsi="Calibri" w:cs="Calibri"/>
      <w:sz w:val="22"/>
      <w:szCs w:val="22"/>
      <w:lang w:eastAsia="en-US"/>
    </w:rPr>
  </w:style>
  <w:style w:type="paragraph" w:styleId="Textodebalo">
    <w:name w:val="Balloon Text"/>
    <w:basedOn w:val="Normal"/>
    <w:link w:val="TextodebaloChar"/>
    <w:uiPriority w:val="99"/>
    <w:semiHidden/>
    <w:rPr>
      <w:rFonts w:ascii="Tahoma" w:hAnsi="Tahoma"/>
      <w:sz w:val="16"/>
      <w:szCs w:val="16"/>
    </w:rPr>
  </w:style>
  <w:style w:type="character" w:customStyle="1" w:styleId="TextodebaloChar">
    <w:name w:val="Texto de balão Char"/>
    <w:link w:val="Textodebalo"/>
    <w:uiPriority w:val="99"/>
    <w:semiHidden/>
    <w:locked/>
    <w:rPr>
      <w:rFonts w:ascii="Tahoma" w:hAnsi="Tahoma" w:cs="Tahoma"/>
      <w:sz w:val="16"/>
      <w:szCs w:val="16"/>
    </w:rPr>
  </w:style>
  <w:style w:type="paragraph" w:styleId="Textodenotaderodap">
    <w:name w:val="footnote text"/>
    <w:basedOn w:val="Normal"/>
    <w:link w:val="TextodenotaderodapChar"/>
    <w:uiPriority w:val="99"/>
    <w:unhideWhenUsed/>
  </w:style>
  <w:style w:type="character" w:customStyle="1" w:styleId="TextodenotaderodapChar">
    <w:name w:val="Texto de nota de rodapé Char"/>
    <w:link w:val="Textodenotaderodap"/>
    <w:uiPriority w:val="99"/>
    <w:semiHidden/>
  </w:style>
  <w:style w:type="paragraph" w:styleId="Sumrio1">
    <w:name w:val="toc 1"/>
    <w:basedOn w:val="Normal"/>
    <w:next w:val="Normal"/>
    <w:uiPriority w:val="99"/>
    <w:semiHidden/>
  </w:style>
  <w:style w:type="paragraph" w:styleId="Recuodecorpodetexto">
    <w:name w:val="Body Text Indent"/>
    <w:basedOn w:val="Normal"/>
    <w:pPr>
      <w:spacing w:after="120"/>
      <w:ind w:left="283"/>
    </w:pPr>
  </w:style>
  <w:style w:type="table" w:styleId="Tabelacomgrade">
    <w:name w:val="Table Grid"/>
    <w:basedOn w:val="Tabela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alhodoSumrio1">
    <w:name w:val="Cabeçalho do Sumário1"/>
    <w:basedOn w:val="Ttulo1"/>
    <w:next w:val="Normal"/>
    <w:uiPriority w:val="99"/>
    <w:qFormat/>
    <w:pPr>
      <w:outlineLvl w:val="9"/>
    </w:pPr>
  </w:style>
  <w:style w:type="paragraph" w:customStyle="1" w:styleId="Default">
    <w:name w:val="Default"/>
    <w:uiPriority w:val="99"/>
    <w:pPr>
      <w:autoSpaceDE w:val="0"/>
      <w:autoSpaceDN w:val="0"/>
      <w:adjustRightInd w:val="0"/>
    </w:pPr>
    <w:rPr>
      <w:color w:val="000000"/>
      <w:sz w:val="24"/>
      <w:szCs w:val="24"/>
    </w:rPr>
  </w:style>
  <w:style w:type="paragraph" w:customStyle="1" w:styleId="01-Texto">
    <w:name w:val="01 - Texto"/>
    <w:basedOn w:val="Normal"/>
    <w:pPr>
      <w:spacing w:line="360" w:lineRule="auto"/>
      <w:ind w:firstLine="1134"/>
      <w:jc w:val="both"/>
    </w:pPr>
    <w:rPr>
      <w:sz w:val="24"/>
    </w:rPr>
  </w:style>
  <w:style w:type="paragraph" w:customStyle="1" w:styleId="04-Referncias">
    <w:name w:val="04 - Referências"/>
    <w:basedOn w:val="Normal"/>
    <w:pPr>
      <w:spacing w:before="240" w:after="240"/>
    </w:pPr>
    <w:rPr>
      <w:sz w:val="24"/>
    </w:rPr>
  </w:style>
  <w:style w:type="paragraph" w:customStyle="1" w:styleId="4Referncias">
    <w:name w:val="4 Referências"/>
    <w:basedOn w:val="Normal"/>
    <w:pPr>
      <w:spacing w:after="240"/>
    </w:pPr>
    <w:rPr>
      <w:sz w:val="24"/>
    </w:rPr>
  </w:style>
  <w:style w:type="paragraph" w:styleId="SemEspaamento">
    <w:name w:val="No Spacing"/>
    <w:uiPriority w:val="1"/>
    <w:qFormat/>
  </w:style>
  <w:style w:type="paragraph" w:customStyle="1" w:styleId="western">
    <w:name w:val="western"/>
    <w:basedOn w:val="Normal"/>
    <w:qFormat/>
    <w:pPr>
      <w:spacing w:before="100" w:beforeAutospacing="1" w:after="142" w:line="288" w:lineRule="auto"/>
    </w:pPr>
    <w:rPr>
      <w:rFonts w:ascii="Calibri" w:hAnsi="Calibri"/>
      <w:color w:val="00000A"/>
      <w:sz w:val="22"/>
      <w:szCs w:val="22"/>
    </w:rPr>
  </w:style>
  <w:style w:type="paragraph" w:styleId="PargrafodaLista">
    <w:name w:val="List Paragraph"/>
    <w:basedOn w:val="Normal"/>
    <w:uiPriority w:val="1"/>
    <w:qFormat/>
    <w:pPr>
      <w:ind w:left="708"/>
    </w:pPr>
    <w:rPr>
      <w:sz w:val="24"/>
      <w:szCs w:val="24"/>
    </w:rPr>
  </w:style>
  <w:style w:type="character" w:customStyle="1" w:styleId="normaltextrun">
    <w:name w:val="normaltextrun"/>
    <w:basedOn w:val="Fontepargpadro"/>
    <w:rsid w:val="001C0D0A"/>
  </w:style>
  <w:style w:type="character" w:customStyle="1" w:styleId="eop">
    <w:name w:val="eop"/>
    <w:basedOn w:val="Fontepargpadro"/>
    <w:rsid w:val="001C0D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383998">
      <w:bodyDiv w:val="1"/>
      <w:marLeft w:val="0"/>
      <w:marRight w:val="0"/>
      <w:marTop w:val="0"/>
      <w:marBottom w:val="0"/>
      <w:divBdr>
        <w:top w:val="none" w:sz="0" w:space="0" w:color="auto"/>
        <w:left w:val="none" w:sz="0" w:space="0" w:color="auto"/>
        <w:bottom w:val="none" w:sz="0" w:space="0" w:color="auto"/>
        <w:right w:val="none" w:sz="0" w:space="0" w:color="auto"/>
      </w:divBdr>
    </w:div>
    <w:div w:id="736394689">
      <w:bodyDiv w:val="1"/>
      <w:marLeft w:val="0"/>
      <w:marRight w:val="0"/>
      <w:marTop w:val="0"/>
      <w:marBottom w:val="0"/>
      <w:divBdr>
        <w:top w:val="none" w:sz="0" w:space="0" w:color="auto"/>
        <w:left w:val="none" w:sz="0" w:space="0" w:color="auto"/>
        <w:bottom w:val="none" w:sz="0" w:space="0" w:color="auto"/>
        <w:right w:val="none" w:sz="0" w:space="0" w:color="auto"/>
      </w:divBdr>
    </w:div>
    <w:div w:id="837189219">
      <w:bodyDiv w:val="1"/>
      <w:marLeft w:val="0"/>
      <w:marRight w:val="0"/>
      <w:marTop w:val="0"/>
      <w:marBottom w:val="0"/>
      <w:divBdr>
        <w:top w:val="none" w:sz="0" w:space="0" w:color="auto"/>
        <w:left w:val="none" w:sz="0" w:space="0" w:color="auto"/>
        <w:bottom w:val="none" w:sz="0" w:space="0" w:color="auto"/>
        <w:right w:val="none" w:sz="0" w:space="0" w:color="auto"/>
      </w:divBdr>
    </w:div>
    <w:div w:id="1440950003">
      <w:bodyDiv w:val="1"/>
      <w:marLeft w:val="0"/>
      <w:marRight w:val="0"/>
      <w:marTop w:val="0"/>
      <w:marBottom w:val="0"/>
      <w:divBdr>
        <w:top w:val="none" w:sz="0" w:space="0" w:color="auto"/>
        <w:left w:val="none" w:sz="0" w:space="0" w:color="auto"/>
        <w:bottom w:val="none" w:sz="0" w:space="0" w:color="auto"/>
        <w:right w:val="none" w:sz="0" w:space="0" w:color="auto"/>
      </w:divBdr>
    </w:div>
    <w:div w:id="1863126607">
      <w:bodyDiv w:val="1"/>
      <w:marLeft w:val="0"/>
      <w:marRight w:val="0"/>
      <w:marTop w:val="0"/>
      <w:marBottom w:val="0"/>
      <w:divBdr>
        <w:top w:val="none" w:sz="0" w:space="0" w:color="auto"/>
        <w:left w:val="none" w:sz="0" w:space="0" w:color="auto"/>
        <w:bottom w:val="none" w:sz="0" w:space="0" w:color="auto"/>
        <w:right w:val="none" w:sz="0" w:space="0" w:color="auto"/>
      </w:divBdr>
    </w:div>
    <w:div w:id="204814399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rquivo2011.aen.pr.gov.br/Noticia/Duplicacao-de-trecho-de-33-quilometros-da-BR-376-entra-na-etapa-fina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ibge.gov.br/cidades-e-estados/pr/paranavai.html" TargetMode="External"/><Relationship Id="rId4" Type="http://schemas.microsoft.com/office/2007/relationships/stylesWithEffects" Target="stylesWithEffects.xml"/><Relationship Id="rId9" Type="http://schemas.openxmlformats.org/officeDocument/2006/relationships/hyperlink" Target="https://www.gov.br/prf/pt-br/acesso-a-informacao/dados-abertos/dados-abertos-acident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C971B-70C8-4EDF-9B4B-FDE716C84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12</Pages>
  <Words>3562</Words>
  <Characters>19235</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EDITAL N°01/2012 – NUPEM</vt:lpstr>
    </vt:vector>
  </TitlesOfParts>
  <Company>FECILCAM</Company>
  <LinksUpToDate>false</LinksUpToDate>
  <CharactersWithSpaces>22752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N°01/2012 – NUPEM</dc:title>
  <dc:subject/>
  <dc:creator>Akeryus</dc:creator>
  <cp:keywords/>
  <cp:lastModifiedBy>adilson oliveira</cp:lastModifiedBy>
  <cp:revision>12</cp:revision>
  <cp:lastPrinted>2012-12-11T12:51:00Z</cp:lastPrinted>
  <dcterms:created xsi:type="dcterms:W3CDTF">2024-07-31T15:35:00Z</dcterms:created>
  <dcterms:modified xsi:type="dcterms:W3CDTF">2024-10-30T22:03:00Z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1046-11.2.0.10200</vt:lpwstr>
  </property>
</Properties>
</file>